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53" w:rsidRDefault="00FF5583">
      <w:pPr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32"/>
        </w:rPr>
        <w:t>国家能源局</w:t>
      </w:r>
      <w:r>
        <w:rPr>
          <w:rFonts w:ascii="华文中宋" w:eastAsia="华文中宋" w:hAnsi="华文中宋" w:hint="eastAsia"/>
          <w:b/>
          <w:sz w:val="32"/>
          <w:szCs w:val="32"/>
        </w:rPr>
        <w:t>2017</w:t>
      </w:r>
      <w:r>
        <w:rPr>
          <w:rFonts w:ascii="华文中宋" w:eastAsia="华文中宋" w:hAnsi="华文中宋" w:hint="eastAsia"/>
          <w:b/>
          <w:sz w:val="32"/>
          <w:szCs w:val="32"/>
        </w:rPr>
        <w:t>年能源规划研究课题公开招标中标结果</w:t>
      </w:r>
    </w:p>
    <w:bookmarkEnd w:id="0"/>
    <w:p w:rsidR="00AF1C53" w:rsidRDefault="00AF1C53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9094" w:type="dxa"/>
        <w:jc w:val="center"/>
        <w:tblInd w:w="-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2835"/>
        <w:gridCol w:w="3490"/>
        <w:gridCol w:w="1896"/>
      </w:tblGrid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课题题目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中标单位</w:t>
            </w:r>
          </w:p>
        </w:tc>
        <w:tc>
          <w:tcPr>
            <w:tcW w:w="1896" w:type="dxa"/>
          </w:tcPr>
          <w:p w:rsidR="00AF1C53" w:rsidRDefault="00FF5583">
            <w:pPr>
              <w:spacing w:line="400" w:lineRule="exact"/>
              <w:jc w:val="center"/>
              <w:outlineLvl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</w:tr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促进我国能源转型的能源市场体系建设相关问题研究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国家发展和改革委员会市场与价格研究所、国家发展和改革委员会能源研究所（以上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家为一个申报主体）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Merge w:val="restart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立足国内煤炭资源加大技术攻关力度，确保能源安全研究</w:t>
            </w:r>
          </w:p>
        </w:tc>
        <w:tc>
          <w:tcPr>
            <w:tcW w:w="3490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Merge/>
            <w:vAlign w:val="center"/>
          </w:tcPr>
          <w:p w:rsidR="00AF1C53" w:rsidRDefault="00AF1C5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子课题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：低阶煤分质利用技术在推进能源革命中的作用研究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中国五环工程有限公司、国家能源低阶煤综合利用研发中心、中国化学工程股份有限公司（以上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家为一个申报主体）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Merge/>
            <w:vAlign w:val="center"/>
          </w:tcPr>
          <w:p w:rsidR="00AF1C53" w:rsidRDefault="00AF1C5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子课题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：传统煤化工及小炼油项目采用甲烷化技术联产（改产）替代天然气潜力及典型方案研究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中国石油和化学工业联合会、河南龙成集团有限公司、大唐国际化工技术研究院有限公司、石油和化工规划院、中国氮肥工业协会、煤炭科学研究总院北京煤化工研究分院、中国炼焦行业协会（以上</w:t>
            </w:r>
            <w:r>
              <w:rPr>
                <w:rFonts w:ascii="仿宋_GB2312" w:eastAsia="仿宋_GB2312" w:hint="eastAsia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家为一个申报主体）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trHeight w:val="537"/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能源互联网推进方案及相关政策研究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清华大学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分省分区域合理电源发展战略研究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电力规划总院有限公司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全国及分省区煤炭产运需研究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中国煤炭工业协会、中国煤炭运销协会（以上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家为一个申报主体）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Merge w:val="restart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2050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年可再生能源发展战略研究</w:t>
            </w:r>
          </w:p>
        </w:tc>
        <w:tc>
          <w:tcPr>
            <w:tcW w:w="3490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Merge/>
            <w:vAlign w:val="center"/>
          </w:tcPr>
          <w:p w:rsidR="00AF1C53" w:rsidRDefault="00AF1C5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子课题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2050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年可再生能源发展战略体系研究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国家发展和改革委员会能源研究所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Merge/>
            <w:vAlign w:val="center"/>
          </w:tcPr>
          <w:p w:rsidR="00AF1C53" w:rsidRDefault="00AF1C5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子课题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：可再生能源成本跟踪评价研究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水电水利规划设计总院，国家发展和改革委员会能源研究所，卓尔德环境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咨询（北京）有限公司（联合承担）</w:t>
            </w:r>
          </w:p>
        </w:tc>
        <w:tc>
          <w:tcPr>
            <w:tcW w:w="1896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水电水利规划设计总院牵头负责</w:t>
            </w:r>
          </w:p>
        </w:tc>
      </w:tr>
      <w:tr w:rsidR="00AF1C53">
        <w:trPr>
          <w:jc w:val="center"/>
        </w:trPr>
        <w:tc>
          <w:tcPr>
            <w:tcW w:w="873" w:type="dxa"/>
            <w:vMerge/>
            <w:vAlign w:val="center"/>
          </w:tcPr>
          <w:p w:rsidR="00AF1C53" w:rsidRDefault="00AF1C5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子课题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：中国清洁低碳能源发展路径选择及系统优化研究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电力规划总院有限公司，国家发展和改革委员会能源研究所（联合承担）</w:t>
            </w:r>
          </w:p>
        </w:tc>
        <w:tc>
          <w:tcPr>
            <w:tcW w:w="1896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电力规划总院有限公司牵头负责</w:t>
            </w:r>
          </w:p>
        </w:tc>
      </w:tr>
      <w:tr w:rsidR="00AF1C53">
        <w:trPr>
          <w:jc w:val="center"/>
        </w:trPr>
        <w:tc>
          <w:tcPr>
            <w:tcW w:w="873" w:type="dxa"/>
            <w:vMerge w:val="restart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北方地区冬季清洁取暖研究</w:t>
            </w:r>
          </w:p>
        </w:tc>
        <w:tc>
          <w:tcPr>
            <w:tcW w:w="3490" w:type="dxa"/>
            <w:vAlign w:val="center"/>
          </w:tcPr>
          <w:p w:rsidR="00AF1C53" w:rsidRDefault="00AF1C5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AF1C53" w:rsidRDefault="00AF1C53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Merge/>
            <w:vAlign w:val="center"/>
          </w:tcPr>
          <w:p w:rsidR="00AF1C53" w:rsidRDefault="00AF1C5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子课题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：北方地区冬季清洁供暖研究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电力规划总院有限公司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Merge/>
            <w:vAlign w:val="center"/>
          </w:tcPr>
          <w:p w:rsidR="00AF1C53" w:rsidRDefault="00AF1C5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子课题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：北方清洁取暖“煤改气”经济性、环境性比较研究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中国石油天然气股份有限公司规划总院、北京市劳动保护科学研究院、国网能源研究院（以上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家为一个申报主体）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2030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2050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年我国核电中长期发展战略研究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中国核电发展中心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华北天然气市场发展路径及储气调峰机制研究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中国石油天然气股份有限公司规划总院、中国石油天然气销售北方分公司（以上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家为一个申报主体）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西南水电智能调度及合理消纳机制研究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水电水利规划设计总院，华北电力大学</w:t>
            </w:r>
            <w:r>
              <w:rPr>
                <w:rFonts w:ascii="仿宋_GB2312" w:eastAsia="仿宋_GB2312" w:hint="eastAsia"/>
                <w:szCs w:val="21"/>
              </w:rPr>
              <w:t>（联合承担）</w:t>
            </w:r>
          </w:p>
        </w:tc>
        <w:tc>
          <w:tcPr>
            <w:tcW w:w="1896" w:type="dxa"/>
            <w:vAlign w:val="center"/>
          </w:tcPr>
          <w:p w:rsidR="00AF1C53" w:rsidRDefault="00FF558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水电水利规划设计总院牵头负责</w:t>
            </w:r>
          </w:p>
        </w:tc>
      </w:tr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流域梯级水电站失事风险防控与应急管理研究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水电水利规划设计总院、南京水利科学研究院、中国大坝工程学会、清华大学土木水利学院（以上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家为一个申报主体）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“一带一路”重点国家电力市场发展分析研究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电力规划总院有限公司、国网能源研究院（以上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家为一个申报主体）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Merge w:val="restart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13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2050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年能源绿色低碳转型路线图若干问题深化研究</w:t>
            </w:r>
          </w:p>
        </w:tc>
        <w:tc>
          <w:tcPr>
            <w:tcW w:w="3490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Merge/>
            <w:vAlign w:val="center"/>
          </w:tcPr>
          <w:p w:rsidR="00AF1C53" w:rsidRDefault="00AF1C5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子课题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：城市和农村能源变革模式及实施路径研究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中国工程院战略咨询中心、国网（苏州）城市能源研究院有限责任公司（以上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家为一个申报主体），国网河南省电力公司经济技术研究院（联合承担）</w:t>
            </w:r>
          </w:p>
        </w:tc>
        <w:tc>
          <w:tcPr>
            <w:tcW w:w="1896" w:type="dxa"/>
            <w:vAlign w:val="center"/>
          </w:tcPr>
          <w:p w:rsidR="00AF1C53" w:rsidRDefault="00FF5583">
            <w:pPr>
              <w:autoSpaceDE w:val="0"/>
              <w:autoSpaceDN w:val="0"/>
              <w:adjustRightIn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中国工程院战略咨询中心牵头负责</w:t>
            </w:r>
          </w:p>
        </w:tc>
      </w:tr>
      <w:tr w:rsidR="00AF1C53">
        <w:trPr>
          <w:trHeight w:val="1596"/>
          <w:jc w:val="center"/>
        </w:trPr>
        <w:tc>
          <w:tcPr>
            <w:tcW w:w="873" w:type="dxa"/>
            <w:vMerge/>
            <w:vAlign w:val="center"/>
          </w:tcPr>
          <w:p w:rsidR="00AF1C53" w:rsidRDefault="00AF1C5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子课题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2050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年能源绿色转型产业发展研究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国家发展和改革委员会能源研究所、清华大学、中关村储能产业技术联盟（以上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家为一个申报主体），北京计鹏信息咨询有限公司（联合承担）</w:t>
            </w:r>
          </w:p>
        </w:tc>
        <w:tc>
          <w:tcPr>
            <w:tcW w:w="1896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国家发展和改革委员会能源研究所牵头负责</w:t>
            </w:r>
          </w:p>
        </w:tc>
      </w:tr>
      <w:tr w:rsidR="00AF1C53">
        <w:trPr>
          <w:trHeight w:val="1599"/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雄安新区能源发展规划研究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电力规划总院有限公司；中国</w:t>
            </w:r>
            <w:r>
              <w:rPr>
                <w:rFonts w:ascii="仿宋_GB2312" w:eastAsia="仿宋_GB2312"/>
                <w:szCs w:val="21"/>
              </w:rPr>
              <w:t>国际工程咨询有限公司、国网能源研究院（以上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家联合承担）</w:t>
            </w:r>
            <w:r>
              <w:rPr>
                <w:rFonts w:ascii="仿宋_GB2312" w:eastAsia="仿宋_GB2312" w:hint="eastAsia"/>
                <w:szCs w:val="21"/>
              </w:rPr>
              <w:t>；国务院发展研究中心资源与环境政策研究所、水电水利规划总院、清华大学、华源电力公司（以上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家为一个申报主体）</w:t>
            </w:r>
          </w:p>
        </w:tc>
        <w:tc>
          <w:tcPr>
            <w:tcW w:w="1896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三个主体分别独立承担，分别提交成果</w:t>
            </w:r>
          </w:p>
        </w:tc>
      </w:tr>
      <w:tr w:rsidR="00AF1C53">
        <w:trPr>
          <w:jc w:val="center"/>
        </w:trPr>
        <w:tc>
          <w:tcPr>
            <w:tcW w:w="873" w:type="dxa"/>
            <w:vMerge w:val="restart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落实新理念培育新动能推动能源产业转型升级政策措施研究</w:t>
            </w:r>
          </w:p>
        </w:tc>
        <w:tc>
          <w:tcPr>
            <w:tcW w:w="3490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Merge/>
            <w:vAlign w:val="center"/>
          </w:tcPr>
          <w:p w:rsidR="00AF1C53" w:rsidRDefault="00AF1C5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子课题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2030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年能源主要品种发展定位和政策研究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国家发展和改革委员会能源研究所；中国能源研究会</w:t>
            </w:r>
          </w:p>
        </w:tc>
        <w:tc>
          <w:tcPr>
            <w:tcW w:w="1896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两个主体分别独立承担，分别提交成果</w:t>
            </w:r>
          </w:p>
        </w:tc>
      </w:tr>
      <w:tr w:rsidR="00AF1C53">
        <w:trPr>
          <w:jc w:val="center"/>
        </w:trPr>
        <w:tc>
          <w:tcPr>
            <w:tcW w:w="873" w:type="dxa"/>
            <w:vMerge/>
            <w:vAlign w:val="center"/>
          </w:tcPr>
          <w:p w:rsidR="00AF1C53" w:rsidRDefault="00AF1C5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子课题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：关于能源产业新旧动能转换和转型升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级的政策措施研究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中国电力企业联合会电力建设技术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经济咨询中心</w:t>
            </w:r>
          </w:p>
        </w:tc>
        <w:tc>
          <w:tcPr>
            <w:tcW w:w="1896" w:type="dxa"/>
            <w:vAlign w:val="center"/>
          </w:tcPr>
          <w:p w:rsidR="00AF1C53" w:rsidRDefault="00AF1C53">
            <w:pPr>
              <w:rPr>
                <w:rFonts w:ascii="仿宋_GB2312" w:eastAsia="仿宋_GB2312"/>
                <w:szCs w:val="21"/>
              </w:rPr>
            </w:pPr>
          </w:p>
        </w:tc>
      </w:tr>
      <w:tr w:rsidR="00AF1C53">
        <w:trPr>
          <w:jc w:val="center"/>
        </w:trPr>
        <w:tc>
          <w:tcPr>
            <w:tcW w:w="873" w:type="dxa"/>
            <w:vAlign w:val="center"/>
          </w:tcPr>
          <w:p w:rsidR="00AF1C53" w:rsidRDefault="00FF5583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16</w:t>
            </w:r>
          </w:p>
        </w:tc>
        <w:tc>
          <w:tcPr>
            <w:tcW w:w="2835" w:type="dxa"/>
            <w:vAlign w:val="center"/>
          </w:tcPr>
          <w:p w:rsidR="00AF1C53" w:rsidRDefault="00FF5583">
            <w:pPr>
              <w:spacing w:line="3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能源景气指数构建与应用研究</w:t>
            </w:r>
          </w:p>
        </w:tc>
        <w:tc>
          <w:tcPr>
            <w:tcW w:w="3490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国家信息中心经济预测部；国网能源研究院；电力规划总院有限公司</w:t>
            </w:r>
          </w:p>
        </w:tc>
        <w:tc>
          <w:tcPr>
            <w:tcW w:w="1896" w:type="dxa"/>
            <w:vAlign w:val="center"/>
          </w:tcPr>
          <w:p w:rsidR="00AF1C53" w:rsidRDefault="00FF55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三个主体分别独立承担，分别提交成果</w:t>
            </w:r>
          </w:p>
        </w:tc>
      </w:tr>
    </w:tbl>
    <w:p w:rsidR="00AF1C53" w:rsidRDefault="00AF1C53">
      <w:pPr>
        <w:rPr>
          <w:rFonts w:ascii="华文中宋" w:eastAsia="华文中宋" w:hAnsi="华文中宋"/>
          <w:b/>
          <w:sz w:val="36"/>
          <w:szCs w:val="36"/>
        </w:rPr>
      </w:pPr>
    </w:p>
    <w:sectPr w:rsidR="00AF1C53" w:rsidSect="00AF1C5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583" w:rsidRDefault="00FF5583" w:rsidP="00AF1C53">
      <w:r>
        <w:separator/>
      </w:r>
    </w:p>
  </w:endnote>
  <w:endnote w:type="continuationSeparator" w:id="1">
    <w:p w:rsidR="00FF5583" w:rsidRDefault="00FF5583" w:rsidP="00AF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C53" w:rsidRDefault="00FF5583">
    <w:pPr>
      <w:pStyle w:val="a6"/>
      <w:jc w:val="center"/>
    </w:pPr>
    <w:r>
      <w:rPr>
        <w:rFonts w:hint="eastAsia"/>
      </w:rPr>
      <w:t>—</w:t>
    </w:r>
    <w:r>
      <w:rPr>
        <w:rFonts w:hint="eastAsia"/>
      </w:rPr>
      <w:t xml:space="preserve"> </w:t>
    </w:r>
    <w:r w:rsidR="00AF1C5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AF1C53">
      <w:rPr>
        <w:rFonts w:ascii="宋体" w:hAnsi="宋体"/>
        <w:sz w:val="28"/>
        <w:szCs w:val="28"/>
      </w:rPr>
      <w:fldChar w:fldCharType="separate"/>
    </w:r>
    <w:r w:rsidR="00B158E0" w:rsidRPr="00B158E0">
      <w:rPr>
        <w:rFonts w:ascii="宋体" w:hAnsi="宋体"/>
        <w:noProof/>
        <w:sz w:val="28"/>
        <w:szCs w:val="28"/>
        <w:lang w:val="zh-CN"/>
      </w:rPr>
      <w:t>1</w:t>
    </w:r>
    <w:r w:rsidR="00AF1C53">
      <w:rPr>
        <w:rFonts w:ascii="宋体" w:hAnsi="宋体"/>
        <w:sz w:val="28"/>
        <w:szCs w:val="28"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  <w:p w:rsidR="00AF1C53" w:rsidRDefault="00AF1C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583" w:rsidRDefault="00FF5583" w:rsidP="00AF1C53">
      <w:r>
        <w:separator/>
      </w:r>
    </w:p>
  </w:footnote>
  <w:footnote w:type="continuationSeparator" w:id="1">
    <w:p w:rsidR="00FF5583" w:rsidRDefault="00FF5583" w:rsidP="00AF1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C53"/>
    <w:rsid w:val="00AF1C53"/>
    <w:rsid w:val="00B158E0"/>
    <w:rsid w:val="00B82207"/>
    <w:rsid w:val="00FF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5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AF1C53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rsid w:val="00AF1C53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sid w:val="00AF1C5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F1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AF1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F1C53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sid w:val="00AF1C5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F1C53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rsid w:val="00AF1C53"/>
  </w:style>
  <w:style w:type="character" w:customStyle="1" w:styleId="Char">
    <w:name w:val="批注主题 Char"/>
    <w:basedOn w:val="Char0"/>
    <w:link w:val="a3"/>
    <w:uiPriority w:val="99"/>
    <w:rsid w:val="00AF1C53"/>
    <w:rPr>
      <w:b/>
      <w:bCs/>
    </w:rPr>
  </w:style>
  <w:style w:type="character" w:customStyle="1" w:styleId="Char1">
    <w:name w:val="批注框文本 Char"/>
    <w:basedOn w:val="a0"/>
    <w:link w:val="a5"/>
    <w:uiPriority w:val="99"/>
    <w:rsid w:val="00AF1C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1501</Characters>
  <Application>Microsoft Office Word</Application>
  <DocSecurity>0</DocSecurity>
  <Lines>12</Lines>
  <Paragraphs>3</Paragraphs>
  <ScaleCrop>false</ScaleCrop>
  <Company>Lenovo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国家能源局2017年能源规划研究课题公开招标中标结果</dc:title>
  <dc:creator>admin1</dc:creator>
  <cp:lastModifiedBy>admin1</cp:lastModifiedBy>
  <cp:revision>2</cp:revision>
  <cp:lastPrinted>2017-08-09T07:43:00Z</cp:lastPrinted>
  <dcterms:created xsi:type="dcterms:W3CDTF">2017-08-29T00:40:00Z</dcterms:created>
  <dcterms:modified xsi:type="dcterms:W3CDTF">2017-08-29T00:40:00Z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