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0" w:lineRule="exact"/>
        <w:rPr>
          <w:rFonts w:ascii="Times New Roman" w:hAnsi="Times New Roman"/>
          <w:color w:val="FF0000"/>
        </w:rPr>
      </w:pPr>
      <w:r>
        <w:rPr>
          <w:rFonts w:ascii="Times New Roman" w:hAnsi="Times New Roman" w:eastAsia="黑体"/>
          <w:sz w:val="32"/>
          <w:szCs w:val="32"/>
        </w:rPr>
        <w:t>附件</w:t>
      </w:r>
    </w:p>
    <w:p>
      <w:pPr>
        <w:widowControl/>
        <w:jc w:val="center"/>
        <w:rPr>
          <w:rFonts w:ascii="Times New Roman" w:hAnsi="Times New Roman" w:eastAsia="方正小标宋简体"/>
          <w:kern w:val="0"/>
          <w:sz w:val="40"/>
          <w:szCs w:val="40"/>
        </w:rPr>
      </w:pPr>
      <w:bookmarkStart w:id="0" w:name="_GoBack"/>
      <w:r>
        <w:rPr>
          <w:rFonts w:ascii="Times New Roman" w:hAnsi="Times New Roman" w:eastAsia="方正小标宋简体"/>
          <w:kern w:val="0"/>
          <w:sz w:val="40"/>
          <w:szCs w:val="40"/>
        </w:rPr>
        <w:t>2018年度全国可再生能源电力发展监测评价报告</w:t>
      </w:r>
      <w:bookmarkEnd w:id="0"/>
    </w:p>
    <w:p>
      <w:pPr>
        <w:spacing w:line="294" w:lineRule="exact"/>
        <w:jc w:val="center"/>
        <w:rPr>
          <w:rFonts w:ascii="Times New Roman" w:hAnsi="Times New Roman" w:eastAsia="楷体_GB2312"/>
          <w:color w:val="FF0000"/>
          <w:spacing w:val="-20"/>
          <w:sz w:val="24"/>
          <w:szCs w:val="24"/>
        </w:rPr>
      </w:pPr>
    </w:p>
    <w:p>
      <w:pPr>
        <w:pStyle w:val="2"/>
        <w:ind w:firstLine="600"/>
      </w:pPr>
      <w:r>
        <w:t>一、全国可再生能源电力发展总体情况</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截至2018年底，全国可再生能源发电装机容量7.29亿千瓦，占全部电力装机的38.4%，其中水电装机（含抽水蓄能）3.52亿千瓦，风电装机1.84亿千瓦，光伏发电装机1.75亿千瓦，生物质发电装机</w:t>
      </w:r>
      <w:r>
        <w:rPr>
          <w:rFonts w:ascii="Times New Roman" w:hAnsi="Times New Roman" w:eastAsia="方正仿宋_GBK"/>
          <w:color w:val="000000"/>
          <w:sz w:val="30"/>
          <w:szCs w:val="30"/>
        </w:rPr>
        <w:t>1781</w:t>
      </w:r>
      <w:r>
        <w:rPr>
          <w:rFonts w:ascii="Times New Roman" w:hAnsi="Times New Roman" w:eastAsia="方正仿宋_GBK"/>
          <w:sz w:val="30"/>
          <w:szCs w:val="30"/>
        </w:rPr>
        <w:t>万千瓦。2018年</w:t>
      </w:r>
      <w:r>
        <w:rPr>
          <w:rFonts w:hint="eastAsia" w:ascii="Times New Roman" w:hAnsi="Times New Roman" w:eastAsia="方正仿宋_GBK"/>
          <w:sz w:val="30"/>
          <w:szCs w:val="30"/>
        </w:rPr>
        <w:t>全国</w:t>
      </w:r>
      <w:r>
        <w:rPr>
          <w:rFonts w:ascii="Times New Roman" w:hAnsi="Times New Roman" w:eastAsia="方正仿宋_GBK"/>
          <w:sz w:val="30"/>
          <w:szCs w:val="30"/>
        </w:rPr>
        <w:t>可再生能源发电量18670.34亿千瓦时，占全部发电量的26.7%，其中水电发电量12329.27亿千瓦时，占全部发电量的17.6%，风电发电量3659.60亿千瓦时，占全部发电量的5.2%，光伏发电量1775.47亿千瓦时，占全部发电量的2.5%，生物质发电量</w:t>
      </w:r>
      <w:r>
        <w:rPr>
          <w:rFonts w:ascii="Times New Roman" w:hAnsi="Times New Roman" w:eastAsia="方正仿宋_GBK"/>
          <w:color w:val="000000"/>
          <w:sz w:val="30"/>
          <w:szCs w:val="30"/>
        </w:rPr>
        <w:t>906</w:t>
      </w:r>
      <w:r>
        <w:rPr>
          <w:rFonts w:ascii="Times New Roman" w:hAnsi="Times New Roman" w:eastAsia="方正仿宋_GBK"/>
          <w:sz w:val="30"/>
          <w:szCs w:val="30"/>
        </w:rPr>
        <w:t>亿千瓦时，占全部发电量的1.3%。</w:t>
      </w:r>
    </w:p>
    <w:p>
      <w:pPr>
        <w:pStyle w:val="2"/>
        <w:ind w:firstLine="600"/>
      </w:pPr>
      <w:r>
        <w:t>二、各省（区、市）可再生能源电力消纳情况</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2018年，包含水电在内</w:t>
      </w:r>
      <w:r>
        <w:rPr>
          <w:rFonts w:hint="eastAsia" w:ascii="Times New Roman" w:hAnsi="Times New Roman" w:eastAsia="方正仿宋_GBK"/>
          <w:sz w:val="30"/>
          <w:szCs w:val="30"/>
        </w:rPr>
        <w:t>的</w:t>
      </w:r>
      <w:r>
        <w:rPr>
          <w:rFonts w:ascii="Times New Roman" w:hAnsi="Times New Roman" w:eastAsia="方正仿宋_GBK"/>
          <w:sz w:val="30"/>
          <w:szCs w:val="30"/>
        </w:rPr>
        <w:t>全部可再生能源电力</w:t>
      </w:r>
      <w:r>
        <w:rPr>
          <w:rFonts w:hint="eastAsia" w:ascii="Times New Roman" w:hAnsi="Times New Roman" w:eastAsia="方正仿宋_GBK"/>
          <w:sz w:val="30"/>
          <w:szCs w:val="30"/>
        </w:rPr>
        <w:t>实际</w:t>
      </w:r>
      <w:r>
        <w:rPr>
          <w:rFonts w:ascii="Times New Roman" w:hAnsi="Times New Roman" w:eastAsia="方正仿宋_GBK"/>
          <w:sz w:val="30"/>
          <w:szCs w:val="30"/>
        </w:rPr>
        <w:t>消纳量为181</w:t>
      </w:r>
      <w:r>
        <w:rPr>
          <w:rFonts w:hint="eastAsia" w:ascii="Times New Roman" w:hAnsi="Times New Roman" w:eastAsia="方正仿宋_GBK"/>
          <w:sz w:val="30"/>
          <w:szCs w:val="30"/>
        </w:rPr>
        <w:t>5</w:t>
      </w:r>
      <w:r>
        <w:rPr>
          <w:rFonts w:ascii="Times New Roman" w:hAnsi="Times New Roman" w:eastAsia="方正仿宋_GBK"/>
          <w:sz w:val="30"/>
          <w:szCs w:val="30"/>
        </w:rPr>
        <w:t>8.97亿千瓦时，占全社会用电量比重为26.</w:t>
      </w:r>
      <w:r>
        <w:rPr>
          <w:rFonts w:hint="eastAsia" w:ascii="Times New Roman" w:hAnsi="Times New Roman" w:eastAsia="方正仿宋_GBK"/>
          <w:sz w:val="30"/>
          <w:szCs w:val="30"/>
        </w:rPr>
        <w:t>5</w:t>
      </w:r>
      <w:r>
        <w:rPr>
          <w:rFonts w:ascii="Times New Roman" w:hAnsi="Times New Roman" w:eastAsia="方正仿宋_GBK"/>
          <w:sz w:val="30"/>
          <w:szCs w:val="30"/>
        </w:rPr>
        <w:t>%，同比</w:t>
      </w:r>
      <w:r>
        <w:rPr>
          <w:rFonts w:hint="eastAsia" w:ascii="Times New Roman" w:hAnsi="Times New Roman" w:eastAsia="方正仿宋_GBK"/>
          <w:sz w:val="30"/>
          <w:szCs w:val="30"/>
        </w:rPr>
        <w:t>持平</w:t>
      </w:r>
      <w:r>
        <w:rPr>
          <w:rFonts w:ascii="Times New Roman" w:hAnsi="Times New Roman" w:eastAsia="方正仿宋_GBK"/>
          <w:sz w:val="30"/>
          <w:szCs w:val="30"/>
        </w:rPr>
        <w:t>。综合考虑各省（区、市）本地生产</w:t>
      </w:r>
      <w:r>
        <w:rPr>
          <w:rFonts w:hint="eastAsia" w:ascii="Times New Roman" w:hAnsi="Times New Roman" w:eastAsia="方正仿宋_GBK"/>
          <w:sz w:val="30"/>
          <w:szCs w:val="30"/>
        </w:rPr>
        <w:t>、</w:t>
      </w:r>
      <w:r>
        <w:rPr>
          <w:rFonts w:ascii="Times New Roman" w:hAnsi="Times New Roman" w:eastAsia="方正仿宋_GBK"/>
          <w:sz w:val="30"/>
          <w:szCs w:val="30"/>
        </w:rPr>
        <w:t>本地利用以及外</w:t>
      </w:r>
      <w:r>
        <w:rPr>
          <w:rFonts w:hint="eastAsia" w:ascii="Times New Roman" w:hAnsi="Times New Roman" w:eastAsia="方正仿宋_GBK"/>
          <w:sz w:val="30"/>
          <w:szCs w:val="30"/>
        </w:rPr>
        <w:t>来</w:t>
      </w:r>
      <w:r>
        <w:rPr>
          <w:rFonts w:ascii="Times New Roman" w:hAnsi="Times New Roman" w:eastAsia="方正仿宋_GBK"/>
          <w:sz w:val="30"/>
          <w:szCs w:val="30"/>
        </w:rPr>
        <w:t>电力消纳情况，2018年各省（区、市）可再生能源电力消纳量占本地全社会用电量比重如下：</w:t>
      </w:r>
    </w:p>
    <w:p>
      <w:pPr>
        <w:spacing w:line="600" w:lineRule="exact"/>
        <w:ind w:firstLine="600" w:firstLineChars="200"/>
        <w:rPr>
          <w:rFonts w:ascii="Times New Roman" w:hAnsi="Times New Roman" w:eastAsia="方正仿宋_GBK"/>
          <w:sz w:val="30"/>
          <w:szCs w:val="30"/>
        </w:rPr>
      </w:pPr>
    </w:p>
    <w:p>
      <w:pPr>
        <w:spacing w:line="600" w:lineRule="exact"/>
        <w:ind w:firstLine="600" w:firstLineChars="200"/>
        <w:rPr>
          <w:rFonts w:ascii="Times New Roman" w:hAnsi="Times New Roman" w:eastAsia="方正仿宋_GBK"/>
          <w:sz w:val="30"/>
          <w:szCs w:val="30"/>
        </w:rPr>
      </w:pPr>
    </w:p>
    <w:p>
      <w:pPr>
        <w:spacing w:line="600" w:lineRule="exact"/>
        <w:ind w:firstLine="600" w:firstLineChars="200"/>
        <w:rPr>
          <w:rFonts w:ascii="Times New Roman" w:hAnsi="Times New Roman" w:eastAsia="方正仿宋_GBK"/>
          <w:sz w:val="30"/>
          <w:szCs w:val="30"/>
        </w:rPr>
      </w:pPr>
    </w:p>
    <w:p>
      <w:pPr>
        <w:pStyle w:val="16"/>
        <w:rPr>
          <w:rFonts w:eastAsia="黑体"/>
          <w:sz w:val="40"/>
          <w:szCs w:val="30"/>
        </w:rPr>
      </w:pPr>
      <w:r>
        <w:rPr>
          <w:rFonts w:hAnsi="黑体" w:eastAsia="黑体"/>
        </w:rPr>
        <w:t>表</w:t>
      </w:r>
      <w:r>
        <w:rPr>
          <w:rFonts w:eastAsia="黑体"/>
        </w:rPr>
        <w:t>1  2018</w:t>
      </w:r>
      <w:r>
        <w:rPr>
          <w:rFonts w:hAnsi="黑体" w:eastAsia="黑体"/>
        </w:rPr>
        <w:t>年各省（区、市）可再生能源电力消纳情况</w:t>
      </w:r>
    </w:p>
    <w:tbl>
      <w:tblPr>
        <w:tblW w:w="86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600"/>
        <w:gridCol w:w="2520"/>
        <w:gridCol w:w="2480"/>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95" w:hRule="atLeast"/>
        </w:trPr>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000000"/>
                <w:kern w:val="0"/>
                <w:sz w:val="22"/>
              </w:rPr>
            </w:pPr>
            <w:r>
              <w:rPr>
                <w:rFonts w:ascii="Times New Roman" w:hAnsi="宋体"/>
                <w:b/>
                <w:bCs/>
                <w:color w:val="000000"/>
                <w:kern w:val="0"/>
                <w:sz w:val="22"/>
              </w:rPr>
              <w:t>省（区、市）</w:t>
            </w:r>
          </w:p>
        </w:tc>
        <w:tc>
          <w:tcPr>
            <w:tcW w:w="25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color w:val="000000"/>
                <w:kern w:val="0"/>
                <w:sz w:val="22"/>
              </w:rPr>
            </w:pPr>
            <w:r>
              <w:rPr>
                <w:rFonts w:ascii="Times New Roman" w:hAnsi="宋体"/>
                <w:b/>
                <w:bCs/>
                <w:color w:val="000000"/>
                <w:kern w:val="0"/>
                <w:sz w:val="22"/>
              </w:rPr>
              <w:t>可再生能源电力消纳量（亿千瓦时）</w:t>
            </w:r>
          </w:p>
        </w:tc>
        <w:tc>
          <w:tcPr>
            <w:tcW w:w="24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color w:val="000000"/>
                <w:kern w:val="0"/>
                <w:sz w:val="22"/>
              </w:rPr>
            </w:pPr>
            <w:r>
              <w:rPr>
                <w:rFonts w:ascii="Times New Roman" w:hAnsi="宋体"/>
                <w:b/>
                <w:bCs/>
                <w:color w:val="000000"/>
                <w:kern w:val="0"/>
                <w:sz w:val="22"/>
              </w:rPr>
              <w:t>可再生能源电力消纳比重</w:t>
            </w:r>
          </w:p>
        </w:tc>
        <w:tc>
          <w:tcPr>
            <w:tcW w:w="20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color w:val="000000"/>
                <w:kern w:val="0"/>
                <w:sz w:val="22"/>
              </w:rPr>
            </w:pPr>
            <w:r>
              <w:rPr>
                <w:rFonts w:ascii="Times New Roman" w:hAnsi="宋体"/>
                <w:b/>
                <w:bCs/>
                <w:color w:val="000000"/>
                <w:kern w:val="0"/>
                <w:sz w:val="22"/>
              </w:rPr>
              <w:t>同比增加百分点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北京</w:t>
            </w:r>
          </w:p>
        </w:tc>
        <w:tc>
          <w:tcPr>
            <w:tcW w:w="2520"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150.75</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13.2%</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天津</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98.20</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11.4%</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河北</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448.38</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12.2%</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山西</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355.25</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16.4%</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内蒙古</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624.34</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18.6%</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辽宁</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326.37</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14.2%</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吉林</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186.53</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24.9%</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黑龙江</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188.70</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19.4%</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上海</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503.23</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32.1%</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江苏</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902.91</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14.7%</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浙江</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826.98</w:t>
            </w:r>
            <w:r>
              <w:rPr>
                <w:rFonts w:hint="eastAsia" w:ascii="Times New Roman" w:hAnsi="Times New Roman"/>
                <w:color w:val="000000"/>
                <w:szCs w:val="21"/>
              </w:rPr>
              <w:t>*</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17.8%</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安徽</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317.06</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14.9%</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福建</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439.71</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19.0%</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江西</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326.96</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22.9%</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山东</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583.60</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9.9%</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河南</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578.39</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16.9%</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湖北</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787.92</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38.0%</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湖南</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735.14</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42.1%</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广东</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2079.53</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32.9%</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广西</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783.33</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46.0%</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海南</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44.28</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13.6%</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重庆</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511.94</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45.9%</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四川</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2013.21</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81.9%</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贵州</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537.22</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36.2%</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云南</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1399.74</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83.4%</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西藏</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61.42</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89.0%</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陕西</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324.11</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20.3%</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甘肃</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624.51</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48.4%</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青海</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577.45</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78.2%</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宁夏</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268.31</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25.2%</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新疆</w:t>
            </w:r>
          </w:p>
        </w:tc>
        <w:tc>
          <w:tcPr>
            <w:tcW w:w="2520"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573.50</w:t>
            </w:r>
          </w:p>
        </w:tc>
        <w:tc>
          <w:tcPr>
            <w:tcW w:w="248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26.8%</w:t>
            </w:r>
          </w:p>
        </w:tc>
        <w:tc>
          <w:tcPr>
            <w:tcW w:w="2020"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16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全</w:t>
            </w:r>
            <w:r>
              <w:rPr>
                <w:rFonts w:ascii="Times New Roman" w:hAnsi="Times New Roman"/>
                <w:b/>
                <w:color w:val="000000"/>
                <w:kern w:val="0"/>
                <w:szCs w:val="21"/>
              </w:rPr>
              <w:t xml:space="preserve"> </w:t>
            </w:r>
            <w:r>
              <w:rPr>
                <w:rFonts w:ascii="Times New Roman" w:hAnsi="宋体"/>
                <w:b/>
                <w:color w:val="000000"/>
                <w:kern w:val="0"/>
                <w:szCs w:val="21"/>
              </w:rPr>
              <w:t>国</w:t>
            </w:r>
          </w:p>
        </w:tc>
        <w:tc>
          <w:tcPr>
            <w:tcW w:w="2520" w:type="dxa"/>
            <w:tcBorders>
              <w:top w:val="nil"/>
              <w:left w:val="nil"/>
              <w:bottom w:val="single" w:color="auto" w:sz="4" w:space="0"/>
              <w:right w:val="single" w:color="auto" w:sz="4" w:space="0"/>
            </w:tcBorders>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181</w:t>
            </w:r>
            <w:r>
              <w:rPr>
                <w:rFonts w:hint="eastAsia" w:ascii="Times New Roman" w:hAnsi="Times New Roman"/>
                <w:b/>
                <w:color w:val="000000"/>
                <w:kern w:val="0"/>
                <w:szCs w:val="21"/>
              </w:rPr>
              <w:t>5</w:t>
            </w:r>
            <w:r>
              <w:rPr>
                <w:rFonts w:ascii="Times New Roman" w:hAnsi="Times New Roman"/>
                <w:b/>
                <w:color w:val="000000"/>
                <w:kern w:val="0"/>
                <w:szCs w:val="21"/>
              </w:rPr>
              <w:t>8.97</w:t>
            </w:r>
          </w:p>
        </w:tc>
        <w:tc>
          <w:tcPr>
            <w:tcW w:w="2480" w:type="dxa"/>
            <w:tcBorders>
              <w:top w:val="nil"/>
              <w:left w:val="nil"/>
              <w:bottom w:val="single" w:color="auto" w:sz="4" w:space="0"/>
              <w:right w:val="single" w:color="auto" w:sz="4" w:space="0"/>
            </w:tcBorders>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26.5%</w:t>
            </w:r>
          </w:p>
        </w:tc>
        <w:tc>
          <w:tcPr>
            <w:tcW w:w="2020" w:type="dxa"/>
            <w:tcBorders>
              <w:top w:val="nil"/>
              <w:left w:val="nil"/>
              <w:bottom w:val="single" w:color="auto" w:sz="4" w:space="0"/>
              <w:right w:val="single" w:color="auto" w:sz="4" w:space="0"/>
            </w:tcBorders>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0</w:t>
            </w:r>
          </w:p>
        </w:tc>
      </w:tr>
    </w:tbl>
    <w:p>
      <w:pPr>
        <w:spacing w:line="276" w:lineRule="auto"/>
        <w:rPr>
          <w:rFonts w:ascii="Times New Roman" w:hAnsi="Times New Roman"/>
          <w:szCs w:val="21"/>
        </w:rPr>
      </w:pPr>
      <w:r>
        <w:rPr>
          <w:rFonts w:ascii="Times New Roman" w:hAnsi="Times New Roman"/>
          <w:szCs w:val="21"/>
        </w:rPr>
        <w:t>*2018年浙江省</w:t>
      </w:r>
      <w:r>
        <w:rPr>
          <w:rFonts w:hint="eastAsia" w:ascii="Times New Roman" w:hAnsi="Times New Roman"/>
          <w:szCs w:val="21"/>
        </w:rPr>
        <w:t>因</w:t>
      </w:r>
      <w:r>
        <w:rPr>
          <w:rFonts w:ascii="Times New Roman" w:hAnsi="Times New Roman"/>
          <w:szCs w:val="21"/>
        </w:rPr>
        <w:t>来水</w:t>
      </w:r>
      <w:r>
        <w:rPr>
          <w:rFonts w:hint="eastAsia" w:ascii="Times New Roman" w:hAnsi="Times New Roman"/>
          <w:szCs w:val="21"/>
        </w:rPr>
        <w:t>偏少造成水电</w:t>
      </w:r>
      <w:r>
        <w:rPr>
          <w:rFonts w:ascii="Times New Roman" w:hAnsi="Times New Roman"/>
          <w:szCs w:val="21"/>
        </w:rPr>
        <w:t>发电量减少</w:t>
      </w:r>
      <w:r>
        <w:rPr>
          <w:rFonts w:hint="eastAsia" w:ascii="Times New Roman" w:hAnsi="Times New Roman"/>
          <w:szCs w:val="21"/>
        </w:rPr>
        <w:t>、</w:t>
      </w:r>
      <w:r>
        <w:rPr>
          <w:rFonts w:ascii="Times New Roman" w:hAnsi="Times New Roman"/>
          <w:szCs w:val="21"/>
        </w:rPr>
        <w:t>灵绍特高压通道输送</w:t>
      </w:r>
      <w:r>
        <w:rPr>
          <w:rFonts w:hint="eastAsia" w:ascii="Times New Roman" w:hAnsi="Times New Roman"/>
          <w:szCs w:val="21"/>
        </w:rPr>
        <w:t>可再生</w:t>
      </w:r>
      <w:r>
        <w:rPr>
          <w:rFonts w:ascii="Times New Roman" w:hAnsi="Times New Roman"/>
          <w:szCs w:val="21"/>
        </w:rPr>
        <w:t>能源电量占总输电量比重未达到国家规定比重</w:t>
      </w:r>
      <w:r>
        <w:rPr>
          <w:rFonts w:hint="eastAsia" w:ascii="Times New Roman" w:hAnsi="Times New Roman"/>
          <w:szCs w:val="21"/>
        </w:rPr>
        <w:t>等因素影响</w:t>
      </w:r>
      <w:r>
        <w:rPr>
          <w:rFonts w:ascii="Times New Roman" w:hAnsi="Times New Roman"/>
          <w:szCs w:val="21"/>
        </w:rPr>
        <w:t>，实际消纳可再生能源电量</w:t>
      </w:r>
      <w:r>
        <w:rPr>
          <w:rFonts w:hint="eastAsia" w:ascii="Times New Roman" w:hAnsi="Times New Roman"/>
          <w:szCs w:val="21"/>
        </w:rPr>
        <w:t>偏少</w:t>
      </w:r>
      <w:r>
        <w:rPr>
          <w:rFonts w:ascii="Times New Roman" w:hAnsi="Times New Roman"/>
          <w:szCs w:val="21"/>
        </w:rPr>
        <w:t>，浙江省购买可再生能源绿色电力证书</w:t>
      </w:r>
      <w:r>
        <w:rPr>
          <w:rFonts w:hint="eastAsia" w:ascii="Times New Roman" w:hAnsi="Times New Roman"/>
          <w:szCs w:val="21"/>
        </w:rPr>
        <w:t>折算可再生能源电力消纳量</w:t>
      </w:r>
      <w:r>
        <w:rPr>
          <w:rFonts w:ascii="Times New Roman" w:hAnsi="Times New Roman"/>
          <w:szCs w:val="21"/>
        </w:rPr>
        <w:t>20亿千瓦时</w:t>
      </w:r>
      <w:r>
        <w:rPr>
          <w:rFonts w:hint="eastAsia" w:ascii="Times New Roman" w:hAnsi="Times New Roman"/>
          <w:szCs w:val="21"/>
        </w:rPr>
        <w:t>。</w:t>
      </w:r>
    </w:p>
    <w:p>
      <w:pPr>
        <w:pStyle w:val="2"/>
        <w:ind w:firstLine="600"/>
      </w:pPr>
      <w:r>
        <w:t>三、各省（区、市）非水电可再生能源电力消纳情况</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2018年，全国非水电可再生能源电力消纳量为63</w:t>
      </w:r>
      <w:r>
        <w:rPr>
          <w:rFonts w:hint="eastAsia" w:ascii="Times New Roman" w:hAnsi="Times New Roman" w:eastAsia="方正仿宋_GBK"/>
          <w:sz w:val="30"/>
          <w:szCs w:val="30"/>
        </w:rPr>
        <w:t>1</w:t>
      </w:r>
      <w:r>
        <w:rPr>
          <w:rFonts w:ascii="Times New Roman" w:hAnsi="Times New Roman" w:eastAsia="方正仿宋_GBK"/>
          <w:sz w:val="30"/>
          <w:szCs w:val="30"/>
        </w:rPr>
        <w:t>4.20亿千瓦时，占全社会用电量比重为9.</w:t>
      </w:r>
      <w:r>
        <w:rPr>
          <w:rFonts w:hint="eastAsia" w:ascii="Times New Roman" w:hAnsi="Times New Roman" w:eastAsia="方正仿宋_GBK"/>
          <w:sz w:val="30"/>
          <w:szCs w:val="30"/>
        </w:rPr>
        <w:t>2</w:t>
      </w:r>
      <w:r>
        <w:rPr>
          <w:rFonts w:ascii="Times New Roman" w:hAnsi="Times New Roman" w:eastAsia="方正仿宋_GBK"/>
          <w:sz w:val="30"/>
          <w:szCs w:val="30"/>
        </w:rPr>
        <w:t>%，同比上升1.</w:t>
      </w:r>
      <w:r>
        <w:rPr>
          <w:rFonts w:hint="eastAsia" w:ascii="Times New Roman" w:hAnsi="Times New Roman" w:eastAsia="方正仿宋_GBK"/>
          <w:sz w:val="30"/>
          <w:szCs w:val="30"/>
        </w:rPr>
        <w:t>2</w:t>
      </w:r>
      <w:r>
        <w:rPr>
          <w:rFonts w:ascii="Times New Roman" w:hAnsi="Times New Roman" w:eastAsia="方正仿宋_GBK"/>
          <w:sz w:val="30"/>
          <w:szCs w:val="30"/>
        </w:rPr>
        <w:t>个百分点。综合考虑各省（区、市）本地生产、本地利用以及外</w:t>
      </w:r>
      <w:r>
        <w:rPr>
          <w:rFonts w:hint="eastAsia" w:ascii="Times New Roman" w:hAnsi="Times New Roman" w:eastAsia="方正仿宋_GBK"/>
          <w:sz w:val="30"/>
          <w:szCs w:val="30"/>
        </w:rPr>
        <w:t>来</w:t>
      </w:r>
      <w:r>
        <w:rPr>
          <w:rFonts w:ascii="Times New Roman" w:hAnsi="Times New Roman" w:eastAsia="方正仿宋_GBK"/>
          <w:sz w:val="30"/>
          <w:szCs w:val="30"/>
        </w:rPr>
        <w:t>电力消纳情况，2018年，各省（区、市）非水电可再生能源电力消纳量占本地区全社会用电量比重如表2。</w:t>
      </w:r>
    </w:p>
    <w:p>
      <w:pPr>
        <w:spacing w:line="60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从非水电可再生能源电力消纳比重水平来看，宁夏、青海、内蒙古和吉林最高，均超过17%；从消纳水平同比增长来看，湖南、陕西和西藏三省（区）同比增长较快，分别上升3.0个百分点、2.9个百分点和2.9个百分点；按照国家发展改革委、国家能源局《关于建立健全可再生能源电力消纳保障机制的通知》（发改能源〔2019〕807号）公布的2020年各省（区、市）非水电可再生能源电力最低消纳责任权重，云南、宁夏、新疆等</w:t>
      </w:r>
      <w:r>
        <w:rPr>
          <w:rFonts w:ascii="Times New Roman" w:hAnsi="Times New Roman" w:eastAsia="方正仿宋_GBK"/>
          <w:sz w:val="30"/>
          <w:szCs w:val="30"/>
        </w:rPr>
        <w:t>11</w:t>
      </w:r>
      <w:r>
        <w:rPr>
          <w:rFonts w:hint="eastAsia" w:ascii="Times New Roman" w:hAnsi="Times New Roman" w:eastAsia="方正仿宋_GBK"/>
          <w:sz w:val="30"/>
          <w:szCs w:val="30"/>
        </w:rPr>
        <w:t>个省（区、市）非水电可再生能源消纳比重已达到2020年最低消纳责任权重，江苏、广东、安徽、贵州、山东、内蒙古和广西距离达到2020年最低消纳责任权重不到1个百分点，京津冀、黑龙江、甘肃和青海非水电可再生能源电力消纳比重较2020年最低消纳权重仍有较大差距。</w:t>
      </w:r>
    </w:p>
    <w:p>
      <w:pPr>
        <w:spacing w:line="600" w:lineRule="exact"/>
        <w:ind w:firstLine="600" w:firstLineChars="200"/>
        <w:rPr>
          <w:rFonts w:ascii="Times New Roman" w:hAnsi="Times New Roman" w:eastAsia="方正仿宋_GBK"/>
          <w:sz w:val="30"/>
          <w:szCs w:val="30"/>
        </w:rPr>
      </w:pPr>
    </w:p>
    <w:p>
      <w:pPr>
        <w:spacing w:line="600" w:lineRule="exact"/>
        <w:ind w:firstLine="600" w:firstLineChars="200"/>
        <w:rPr>
          <w:rFonts w:ascii="Times New Roman" w:hAnsi="Times New Roman" w:eastAsia="方正仿宋_GBK"/>
          <w:sz w:val="30"/>
          <w:szCs w:val="30"/>
        </w:rPr>
      </w:pPr>
    </w:p>
    <w:p>
      <w:pPr>
        <w:pStyle w:val="16"/>
        <w:rPr>
          <w:rFonts w:hAnsi="黑体" w:eastAsia="黑体"/>
        </w:rPr>
      </w:pPr>
    </w:p>
    <w:p>
      <w:pPr>
        <w:pStyle w:val="16"/>
        <w:rPr>
          <w:rFonts w:eastAsia="黑体"/>
        </w:rPr>
      </w:pPr>
      <w:r>
        <w:rPr>
          <w:rFonts w:hAnsi="黑体" w:eastAsia="黑体"/>
        </w:rPr>
        <w:t>表</w:t>
      </w:r>
      <w:r>
        <w:rPr>
          <w:rFonts w:eastAsia="黑体"/>
        </w:rPr>
        <w:t>2  2018</w:t>
      </w:r>
      <w:r>
        <w:rPr>
          <w:rFonts w:hAnsi="黑体" w:eastAsia="黑体"/>
        </w:rPr>
        <w:t>年各省（区、市）非水电可再生能源电力消纳情况</w:t>
      </w:r>
    </w:p>
    <w:tbl>
      <w:tblPr>
        <w:tblW w:w="87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80"/>
        <w:gridCol w:w="1720"/>
        <w:gridCol w:w="1306"/>
        <w:gridCol w:w="1134"/>
        <w:gridCol w:w="1701"/>
        <w:gridCol w:w="1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20"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kern w:val="0"/>
                <w:sz w:val="22"/>
              </w:rPr>
            </w:pPr>
            <w:r>
              <w:rPr>
                <w:rFonts w:ascii="宋体" w:hAnsi="宋体"/>
                <w:b/>
                <w:bCs/>
                <w:color w:val="000000"/>
                <w:kern w:val="0"/>
                <w:sz w:val="22"/>
              </w:rPr>
              <w:t>省（区、市）</w:t>
            </w:r>
          </w:p>
        </w:tc>
        <w:tc>
          <w:tcPr>
            <w:tcW w:w="172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2"/>
              </w:rPr>
            </w:pPr>
            <w:r>
              <w:rPr>
                <w:rFonts w:ascii="宋体" w:hAnsi="宋体"/>
                <w:b/>
                <w:bCs/>
                <w:color w:val="000000"/>
                <w:kern w:val="0"/>
                <w:sz w:val="22"/>
              </w:rPr>
              <w:t>非水电可再生能源电力消纳量（亿千瓦时）</w:t>
            </w:r>
          </w:p>
        </w:tc>
        <w:tc>
          <w:tcPr>
            <w:tcW w:w="1306"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2"/>
              </w:rPr>
            </w:pPr>
            <w:r>
              <w:rPr>
                <w:rFonts w:ascii="宋体" w:hAnsi="宋体"/>
                <w:b/>
                <w:bCs/>
                <w:color w:val="000000"/>
                <w:kern w:val="0"/>
                <w:sz w:val="22"/>
              </w:rPr>
              <w:t>非水电可再生能源电力消纳比重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2"/>
              </w:rPr>
            </w:pPr>
            <w:r>
              <w:rPr>
                <w:rFonts w:ascii="宋体" w:hAnsi="宋体"/>
                <w:b/>
                <w:bCs/>
                <w:color w:val="000000"/>
                <w:kern w:val="0"/>
                <w:sz w:val="22"/>
              </w:rPr>
              <w:t>同比增加百分点</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2"/>
              </w:rPr>
            </w:pPr>
            <w:r>
              <w:rPr>
                <w:rFonts w:hint="eastAsia" w:ascii="宋体" w:hAnsi="宋体"/>
                <w:b/>
                <w:bCs/>
                <w:color w:val="000000"/>
                <w:kern w:val="0"/>
                <w:sz w:val="22"/>
              </w:rPr>
              <w:t>2020年最低消纳责任权重</w:t>
            </w:r>
          </w:p>
        </w:tc>
        <w:tc>
          <w:tcPr>
            <w:tcW w:w="1759"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2"/>
              </w:rPr>
            </w:pPr>
            <w:r>
              <w:rPr>
                <w:rFonts w:ascii="宋体" w:hAnsi="宋体"/>
                <w:b/>
                <w:bCs/>
                <w:color w:val="000000"/>
                <w:kern w:val="0"/>
                <w:sz w:val="22"/>
              </w:rPr>
              <w:t>2020年</w:t>
            </w:r>
            <w:r>
              <w:rPr>
                <w:rFonts w:hint="eastAsia" w:ascii="宋体" w:hAnsi="宋体"/>
                <w:b/>
                <w:bCs/>
                <w:color w:val="000000"/>
                <w:kern w:val="0"/>
                <w:sz w:val="22"/>
              </w:rPr>
              <w:t>最低消纳责任</w:t>
            </w:r>
            <w:r>
              <w:rPr>
                <w:rFonts w:ascii="宋体" w:hAnsi="宋体"/>
                <w:b/>
                <w:bCs/>
                <w:color w:val="000000"/>
                <w:kern w:val="0"/>
                <w:sz w:val="22"/>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color w:val="000000"/>
                <w:kern w:val="0"/>
                <w:szCs w:val="21"/>
              </w:rPr>
            </w:pPr>
            <w:r>
              <w:rPr>
                <w:rFonts w:ascii="Arial" w:hAnsi="Arial" w:cs="Arial"/>
                <w:color w:val="000000"/>
                <w:szCs w:val="21"/>
              </w:rPr>
              <w:t>云南</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261.86</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15.6%</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1.4</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宁夏</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237.47</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22.3%</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1.3</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20.0%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新疆</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315.17</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14.7%</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1.6</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13.0%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辽宁</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269.82</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11.7%</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2.5</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10.5%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四川</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107.70</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4.4%</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江西</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123.07</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8.6%</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2.1</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8.0%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吉林</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127.59</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17.0%</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0.6</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16.5%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重庆</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32.59</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2.9%</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0.5</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上海</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51.93</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3.3%</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0.6</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海南</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16.97</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5.2%</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0.5</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5.0%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山西</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312.35</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14.5%</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2.5</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14.5%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江苏</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427.43</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7.0%</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1.6</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7.5%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广东</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221.08</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3.5%</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0.3</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安徽</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235.82</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11.0%</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2.2</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贵州</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66.68</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4.5%</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0.2</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5.0%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山东</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555.62</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9.4%</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2.5</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10.0%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内蒙古</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579.28</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17.3%</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-1.0</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18.0%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广西</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71.35</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4.2%</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1.2</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5.0%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福建</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114.44</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4.9%</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0.4</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6.0%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河南</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322.05</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9.4%</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1.3</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10.5%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陕西</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168.58</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10.6%</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2.9</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12.0%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浙江</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259.56</w:t>
            </w:r>
            <w:r>
              <w:rPr>
                <w:rFonts w:hint="eastAsia" w:ascii="Times New Roman" w:hAnsi="Times New Roman"/>
                <w:color w:val="000000"/>
                <w:szCs w:val="21"/>
              </w:rPr>
              <w:t>*</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5.3%</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7.5%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湖北</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155.76</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7.5%</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0.7</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10.0%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湖南</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177.86</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10.2%</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3.0</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13.0%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北京</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133.42</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11.7%</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1.3</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15.0%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河北</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415.31</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11.3%</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0.9</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15.0%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天津</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94.47</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11.0%</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0.6</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15.0%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黑龙江</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157.51</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16.2%</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0.4</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20.5%</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甘肃</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173.28</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13.4%</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-0.4</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19.0%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bottom"/>
          </w:tcPr>
          <w:p>
            <w:pPr>
              <w:jc w:val="center"/>
              <w:rPr>
                <w:rFonts w:ascii="Arial" w:hAnsi="Arial" w:cs="Arial"/>
                <w:color w:val="000000"/>
                <w:szCs w:val="21"/>
              </w:rPr>
            </w:pPr>
            <w:r>
              <w:rPr>
                <w:rFonts w:ascii="Arial" w:hAnsi="Arial" w:cs="Arial"/>
                <w:color w:val="000000"/>
                <w:szCs w:val="21"/>
              </w:rPr>
              <w:t>青海</w:t>
            </w:r>
          </w:p>
        </w:tc>
        <w:tc>
          <w:tcPr>
            <w:tcW w:w="1720"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136.53</w:t>
            </w:r>
          </w:p>
        </w:tc>
        <w:tc>
          <w:tcPr>
            <w:tcW w:w="1306"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18.5%</w:t>
            </w:r>
          </w:p>
        </w:tc>
        <w:tc>
          <w:tcPr>
            <w:tcW w:w="1134"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0.0</w:t>
            </w:r>
          </w:p>
        </w:tc>
        <w:tc>
          <w:tcPr>
            <w:tcW w:w="1701"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25.0%</w:t>
            </w:r>
          </w:p>
        </w:tc>
        <w:tc>
          <w:tcPr>
            <w:tcW w:w="1759"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ascii="Times New Roman" w:hAnsi="Times New Roman"/>
                <w:color w:val="000000"/>
                <w:szCs w:val="21"/>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hint="eastAsia" w:ascii="Times New Roman" w:hAnsi="宋体"/>
                <w:color w:val="000000"/>
                <w:kern w:val="0"/>
                <w:szCs w:val="21"/>
              </w:rPr>
              <w:t>西藏</w:t>
            </w:r>
          </w:p>
        </w:tc>
        <w:tc>
          <w:tcPr>
            <w:tcW w:w="1720" w:type="dxa"/>
            <w:tcBorders>
              <w:top w:val="nil"/>
              <w:left w:val="nil"/>
              <w:bottom w:val="single" w:color="auto" w:sz="4" w:space="0"/>
              <w:right w:val="single" w:color="auto" w:sz="4" w:space="0"/>
            </w:tcBorders>
            <w:vAlign w:val="top"/>
          </w:tcPr>
          <w:p>
            <w:pPr>
              <w:widowControl/>
              <w:jc w:val="center"/>
              <w:rPr>
                <w:rFonts w:ascii="Times New Roman" w:hAnsi="Times New Roman"/>
                <w:color w:val="000000"/>
                <w:kern w:val="0"/>
                <w:szCs w:val="21"/>
              </w:rPr>
            </w:pPr>
            <w:r>
              <w:rPr>
                <w:rFonts w:ascii="Times New Roman" w:hAnsi="Times New Roman"/>
                <w:color w:val="000000"/>
                <w:kern w:val="0"/>
                <w:szCs w:val="21"/>
              </w:rPr>
              <w:t>16.97</w:t>
            </w:r>
          </w:p>
        </w:tc>
        <w:tc>
          <w:tcPr>
            <w:tcW w:w="1306"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16.9%</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2.9</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hint="eastAsia" w:ascii="Times New Roman" w:hAnsi="Times New Roman"/>
                <w:szCs w:val="21"/>
              </w:rPr>
              <w:t>不考核</w:t>
            </w:r>
          </w:p>
        </w:tc>
        <w:tc>
          <w:tcPr>
            <w:tcW w:w="17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b/>
                <w:bCs/>
                <w:color w:val="000000"/>
                <w:kern w:val="0"/>
                <w:szCs w:val="21"/>
              </w:rPr>
            </w:pPr>
            <w:r>
              <w:rPr>
                <w:rFonts w:ascii="Times New Roman" w:hAnsi="宋体"/>
                <w:b/>
                <w:bCs/>
                <w:color w:val="000000"/>
                <w:kern w:val="0"/>
                <w:szCs w:val="21"/>
              </w:rPr>
              <w:t>全国</w:t>
            </w:r>
          </w:p>
        </w:tc>
        <w:tc>
          <w:tcPr>
            <w:tcW w:w="1720" w:type="dxa"/>
            <w:tcBorders>
              <w:top w:val="nil"/>
              <w:left w:val="nil"/>
              <w:bottom w:val="single" w:color="auto" w:sz="4" w:space="0"/>
              <w:right w:val="single" w:color="auto" w:sz="4" w:space="0"/>
            </w:tcBorders>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63</w:t>
            </w:r>
            <w:r>
              <w:rPr>
                <w:rFonts w:hint="eastAsia" w:ascii="Times New Roman" w:hAnsi="Times New Roman"/>
                <w:b/>
                <w:bCs/>
                <w:color w:val="000000"/>
                <w:kern w:val="0"/>
                <w:szCs w:val="21"/>
              </w:rPr>
              <w:t>1</w:t>
            </w:r>
            <w:r>
              <w:rPr>
                <w:rFonts w:ascii="Times New Roman" w:hAnsi="Times New Roman"/>
                <w:b/>
                <w:bCs/>
                <w:color w:val="000000"/>
                <w:kern w:val="0"/>
                <w:szCs w:val="21"/>
              </w:rPr>
              <w:t>4.20</w:t>
            </w:r>
          </w:p>
        </w:tc>
        <w:tc>
          <w:tcPr>
            <w:tcW w:w="1306" w:type="dxa"/>
            <w:tcBorders>
              <w:top w:val="nil"/>
              <w:left w:val="nil"/>
              <w:bottom w:val="single" w:color="auto" w:sz="4" w:space="0"/>
              <w:right w:val="single" w:color="auto" w:sz="4" w:space="0"/>
            </w:tcBorders>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9.2%</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1.2</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b/>
                <w:bCs/>
                <w:color w:val="000000"/>
                <w:kern w:val="0"/>
                <w:szCs w:val="21"/>
              </w:rPr>
            </w:pPr>
          </w:p>
        </w:tc>
        <w:tc>
          <w:tcPr>
            <w:tcW w:w="1759" w:type="dxa"/>
            <w:tcBorders>
              <w:top w:val="nil"/>
              <w:left w:val="nil"/>
              <w:bottom w:val="single" w:color="auto" w:sz="4" w:space="0"/>
              <w:right w:val="single" w:color="auto" w:sz="4" w:space="0"/>
            </w:tcBorders>
            <w:vAlign w:val="center"/>
          </w:tcPr>
          <w:p>
            <w:pPr>
              <w:widowControl/>
              <w:jc w:val="center"/>
              <w:rPr>
                <w:rFonts w:ascii="Times New Roman" w:hAnsi="Times New Roman"/>
                <w:b/>
                <w:bCs/>
                <w:color w:val="000000"/>
                <w:kern w:val="0"/>
                <w:szCs w:val="21"/>
              </w:rPr>
            </w:pPr>
          </w:p>
        </w:tc>
      </w:tr>
    </w:tbl>
    <w:p>
      <w:pPr>
        <w:rPr>
          <w:rFonts w:ascii="Times New Roman" w:hAnsi="Times New Roman"/>
          <w:szCs w:val="21"/>
        </w:rPr>
      </w:pPr>
      <w:r>
        <w:rPr>
          <w:rFonts w:hint="eastAsia" w:ascii="Times New Roman" w:hAnsi="Times New Roman"/>
          <w:szCs w:val="21"/>
        </w:rPr>
        <w:t>*</w:t>
      </w:r>
      <w:r>
        <w:rPr>
          <w:rFonts w:ascii="Times New Roman" w:hAnsi="Times New Roman"/>
          <w:szCs w:val="21"/>
        </w:rPr>
        <w:t>浙江省购买可再生能源绿色电力证书</w:t>
      </w:r>
      <w:r>
        <w:rPr>
          <w:rFonts w:hint="eastAsia" w:ascii="Times New Roman" w:hAnsi="Times New Roman"/>
          <w:szCs w:val="21"/>
        </w:rPr>
        <w:t>折算可再生能源电力消纳量</w:t>
      </w:r>
      <w:r>
        <w:rPr>
          <w:rFonts w:ascii="Times New Roman" w:hAnsi="Times New Roman"/>
          <w:szCs w:val="21"/>
        </w:rPr>
        <w:t>20亿千瓦时</w:t>
      </w:r>
      <w:r>
        <w:rPr>
          <w:rFonts w:hint="eastAsia" w:ascii="Times New Roman" w:hAnsi="Times New Roman"/>
          <w:szCs w:val="21"/>
        </w:rPr>
        <w:t>。</w:t>
      </w:r>
    </w:p>
    <w:p>
      <w:pPr>
        <w:pStyle w:val="2"/>
        <w:ind w:firstLine="600"/>
      </w:pPr>
      <w:r>
        <w:t>四、风电、光伏发电保障性收购落实情况</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2016年，国家发展改革委、国家能源局依照《可再生能源法》要求，核定了重点地区风电和光伏发电最低保障收购年利用小时数，提出全额保障性收购相关要求。</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2018年，</w:t>
      </w:r>
      <w:r>
        <w:rPr>
          <w:rFonts w:hint="eastAsia" w:ascii="Times New Roman" w:hAnsi="Times New Roman" w:eastAsia="方正仿宋_GBK"/>
          <w:sz w:val="30"/>
          <w:szCs w:val="30"/>
        </w:rPr>
        <w:t>在</w:t>
      </w:r>
      <w:r>
        <w:rPr>
          <w:rFonts w:ascii="Times New Roman" w:hAnsi="Times New Roman" w:eastAsia="方正仿宋_GBK"/>
          <w:sz w:val="30"/>
          <w:szCs w:val="30"/>
        </w:rPr>
        <w:t>规定风电最低保障收购年利用小时数的地区中，甘肃省未达国家最低保障收购年利用小时数要求，其II、III类</w:t>
      </w:r>
      <w:r>
        <w:rPr>
          <w:rFonts w:hint="eastAsia" w:ascii="Times New Roman" w:hAnsi="Times New Roman" w:eastAsia="方正仿宋_GBK"/>
          <w:sz w:val="30"/>
          <w:szCs w:val="30"/>
        </w:rPr>
        <w:t>资源区实际利用小时数比最低保障收购年利用小时数分别低8小时和77小时。</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2018年，</w:t>
      </w:r>
      <w:r>
        <w:rPr>
          <w:rFonts w:hint="eastAsia" w:ascii="Times New Roman" w:hAnsi="Times New Roman" w:eastAsia="方正仿宋_GBK"/>
          <w:sz w:val="30"/>
          <w:szCs w:val="30"/>
        </w:rPr>
        <w:t>在</w:t>
      </w:r>
      <w:r>
        <w:rPr>
          <w:rFonts w:ascii="Times New Roman" w:hAnsi="Times New Roman" w:eastAsia="方正仿宋_GBK"/>
          <w:sz w:val="30"/>
          <w:szCs w:val="30"/>
        </w:rPr>
        <w:t>规定光伏发电最低保障收购年利用小时数的地区中，</w:t>
      </w:r>
      <w:r>
        <w:rPr>
          <w:rFonts w:hint="eastAsia" w:ascii="Times New Roman" w:hAnsi="Times New Roman" w:eastAsia="方正仿宋_GBK"/>
          <w:sz w:val="30"/>
          <w:szCs w:val="30"/>
        </w:rPr>
        <w:t>有</w:t>
      </w:r>
      <w:r>
        <w:rPr>
          <w:rFonts w:ascii="Times New Roman" w:hAnsi="Times New Roman" w:eastAsia="方正仿宋_GBK"/>
          <w:sz w:val="30"/>
          <w:szCs w:val="30"/>
        </w:rPr>
        <w:t>四个省（区</w:t>
      </w:r>
      <w:r>
        <w:rPr>
          <w:rFonts w:hint="eastAsia" w:ascii="Times New Roman" w:hAnsi="Times New Roman" w:eastAsia="方正仿宋_GBK"/>
          <w:sz w:val="30"/>
          <w:szCs w:val="30"/>
        </w:rPr>
        <w:t>、市</w:t>
      </w:r>
      <w:r>
        <w:rPr>
          <w:rFonts w:ascii="Times New Roman" w:hAnsi="Times New Roman" w:eastAsia="方正仿宋_GBK"/>
          <w:sz w:val="30"/>
          <w:szCs w:val="30"/>
        </w:rPr>
        <w:t>）达到光伏发电最低保障收购年利用小时数要求</w:t>
      </w:r>
      <w:r>
        <w:rPr>
          <w:rFonts w:hint="eastAsia" w:ascii="Times New Roman" w:hAnsi="Times New Roman" w:eastAsia="方正仿宋_GBK"/>
          <w:sz w:val="30"/>
          <w:szCs w:val="30"/>
        </w:rPr>
        <w:t>，分别是</w:t>
      </w:r>
      <w:r>
        <w:rPr>
          <w:rFonts w:ascii="Times New Roman" w:hAnsi="Times New Roman" w:eastAsia="方正仿宋_GBK"/>
          <w:sz w:val="30"/>
          <w:szCs w:val="30"/>
        </w:rPr>
        <w:t>内蒙古、青海、陕西</w:t>
      </w:r>
      <w:r>
        <w:rPr>
          <w:rFonts w:hint="eastAsia" w:ascii="Times New Roman" w:hAnsi="Times New Roman" w:eastAsia="方正仿宋_GBK"/>
          <w:sz w:val="30"/>
          <w:szCs w:val="30"/>
        </w:rPr>
        <w:t>和</w:t>
      </w:r>
      <w:r>
        <w:rPr>
          <w:rFonts w:ascii="Times New Roman" w:hAnsi="Times New Roman" w:eastAsia="方正仿宋_GBK"/>
          <w:sz w:val="30"/>
          <w:szCs w:val="30"/>
        </w:rPr>
        <w:t>黑龙江</w:t>
      </w:r>
      <w:r>
        <w:rPr>
          <w:rFonts w:hint="eastAsia" w:ascii="Times New Roman" w:hAnsi="Times New Roman" w:eastAsia="方正仿宋_GBK"/>
          <w:sz w:val="30"/>
          <w:szCs w:val="30"/>
        </w:rPr>
        <w:t>；有</w:t>
      </w:r>
      <w:r>
        <w:rPr>
          <w:rFonts w:ascii="Times New Roman" w:hAnsi="Times New Roman" w:eastAsia="方正仿宋_GBK"/>
          <w:sz w:val="30"/>
          <w:szCs w:val="30"/>
        </w:rPr>
        <w:t>七个省（区</w:t>
      </w:r>
      <w:r>
        <w:rPr>
          <w:rFonts w:hint="eastAsia" w:ascii="Times New Roman" w:hAnsi="Times New Roman" w:eastAsia="方正仿宋_GBK"/>
          <w:sz w:val="30"/>
          <w:szCs w:val="30"/>
        </w:rPr>
        <w:t>、市</w:t>
      </w:r>
      <w:r>
        <w:rPr>
          <w:rFonts w:ascii="Times New Roman" w:hAnsi="Times New Roman" w:eastAsia="方正仿宋_GBK"/>
          <w:sz w:val="30"/>
          <w:szCs w:val="30"/>
        </w:rPr>
        <w:t>）未达到要求，</w:t>
      </w:r>
      <w:r>
        <w:rPr>
          <w:rFonts w:hint="eastAsia" w:ascii="Times New Roman" w:hAnsi="Times New Roman" w:eastAsia="方正仿宋_GBK"/>
          <w:sz w:val="30"/>
          <w:szCs w:val="30"/>
        </w:rPr>
        <w:t>分别是甘肃、新疆、宁夏、辽宁、山西、河北和吉林，</w:t>
      </w:r>
      <w:r>
        <w:rPr>
          <w:rFonts w:ascii="Times New Roman" w:hAnsi="Times New Roman" w:eastAsia="方正仿宋_GBK"/>
          <w:sz w:val="30"/>
          <w:szCs w:val="30"/>
        </w:rPr>
        <w:t>其中，甘肃I类和II类地区实际利用小时数比最低保障收购年利用小时数分别低172小时和200小时，新疆I类和II类地区分别低147小时和133小时，宁夏I类地区低124小时，辽宁II类地区低93小时，山西II类地区低45小时，河北II类地区低28小时，吉林II类地区低17小时。</w:t>
      </w:r>
    </w:p>
    <w:p>
      <w:pPr>
        <w:spacing w:line="600" w:lineRule="exact"/>
        <w:ind w:firstLine="600" w:firstLineChars="200"/>
        <w:rPr>
          <w:rFonts w:ascii="Times New Roman" w:hAnsi="Times New Roman" w:eastAsia="方正仿宋_GBK"/>
          <w:sz w:val="30"/>
          <w:szCs w:val="30"/>
        </w:rPr>
        <w:sectPr>
          <w:footerReference r:id="rId4" w:type="default"/>
          <w:footerReference r:id="rId5" w:type="even"/>
          <w:pgSz w:w="11906" w:h="16838"/>
          <w:pgMar w:top="1985" w:right="1616" w:bottom="1814" w:left="1616" w:header="851" w:footer="1417" w:gutter="0"/>
          <w:pgNumType w:start="1"/>
          <w:cols w:space="425" w:num="1"/>
          <w:docGrid w:type="lines" w:linePitch="312" w:charSpace="0"/>
        </w:sectPr>
      </w:pPr>
    </w:p>
    <w:p>
      <w:pPr>
        <w:pStyle w:val="16"/>
        <w:rPr>
          <w:rFonts w:eastAsia="黑体"/>
        </w:rPr>
      </w:pPr>
      <w:r>
        <w:rPr>
          <w:rFonts w:hAnsi="黑体" w:eastAsia="黑体"/>
        </w:rPr>
        <w:t>表</w:t>
      </w:r>
      <w:r>
        <w:rPr>
          <w:rFonts w:eastAsia="黑体"/>
        </w:rPr>
        <w:t>3  2018</w:t>
      </w:r>
      <w:r>
        <w:rPr>
          <w:rFonts w:hAnsi="黑体" w:eastAsia="黑体"/>
        </w:rPr>
        <w:t>年风电重点地区最低保障收购年利用小时数落实情况</w:t>
      </w:r>
    </w:p>
    <w:p>
      <w:pPr>
        <w:ind w:firstLine="600" w:firstLineChars="200"/>
        <w:rPr>
          <w:rFonts w:ascii="Times New Roman" w:hAnsi="Times New Roman" w:eastAsia="仿宋_GB2312"/>
          <w:sz w:val="30"/>
          <w:szCs w:val="30"/>
        </w:rPr>
      </w:pPr>
    </w:p>
    <w:tbl>
      <w:tblPr>
        <w:tblW w:w="13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9"/>
        <w:gridCol w:w="1129"/>
        <w:gridCol w:w="6309"/>
        <w:gridCol w:w="1433"/>
        <w:gridCol w:w="1831"/>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1" w:hRule="atLeast"/>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2"/>
                <w:szCs w:val="21"/>
              </w:rPr>
            </w:pPr>
            <w:r>
              <w:rPr>
                <w:rFonts w:ascii="宋体" w:hAnsi="宋体"/>
                <w:b/>
                <w:bCs/>
                <w:kern w:val="0"/>
                <w:sz w:val="22"/>
                <w:szCs w:val="21"/>
              </w:rPr>
              <w:t>省（区）</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1"/>
              </w:rPr>
            </w:pPr>
            <w:r>
              <w:rPr>
                <w:rFonts w:ascii="宋体" w:hAnsi="宋体"/>
                <w:b/>
                <w:bCs/>
                <w:kern w:val="0"/>
                <w:sz w:val="22"/>
                <w:szCs w:val="21"/>
              </w:rPr>
              <w:t>资源区</w:t>
            </w:r>
          </w:p>
        </w:tc>
        <w:tc>
          <w:tcPr>
            <w:tcW w:w="6309"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1"/>
              </w:rPr>
            </w:pPr>
            <w:r>
              <w:rPr>
                <w:rFonts w:ascii="宋体" w:hAnsi="宋体"/>
                <w:b/>
                <w:bCs/>
                <w:kern w:val="0"/>
                <w:sz w:val="22"/>
                <w:szCs w:val="21"/>
              </w:rPr>
              <w:t>地区</w:t>
            </w:r>
          </w:p>
        </w:tc>
        <w:tc>
          <w:tcPr>
            <w:tcW w:w="1433"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1"/>
              </w:rPr>
            </w:pPr>
            <w:r>
              <w:rPr>
                <w:rFonts w:ascii="宋体" w:hAnsi="宋体"/>
                <w:b/>
                <w:bCs/>
                <w:kern w:val="0"/>
                <w:sz w:val="22"/>
                <w:szCs w:val="21"/>
              </w:rPr>
              <w:t>保障性收购利用小时数</w:t>
            </w:r>
          </w:p>
        </w:tc>
        <w:tc>
          <w:tcPr>
            <w:tcW w:w="1831"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1"/>
              </w:rPr>
            </w:pPr>
            <w:r>
              <w:rPr>
                <w:rFonts w:ascii="宋体" w:hAnsi="宋体"/>
                <w:b/>
                <w:bCs/>
                <w:kern w:val="0"/>
                <w:sz w:val="22"/>
                <w:szCs w:val="21"/>
              </w:rPr>
              <w:t>2018年实际利用小时数</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szCs w:val="21"/>
              </w:rPr>
            </w:pPr>
            <w:r>
              <w:rPr>
                <w:rFonts w:ascii="宋体" w:hAnsi="宋体"/>
                <w:b/>
                <w:bCs/>
                <w:kern w:val="0"/>
                <w:sz w:val="22"/>
                <w:szCs w:val="21"/>
              </w:rPr>
              <w:t>2018年偏差小时数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8" w:hRule="atLeast"/>
        </w:trPr>
        <w:tc>
          <w:tcPr>
            <w:tcW w:w="112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内蒙古</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除赤峰市、通辽市、兴安盟、呼伦贝尔市以外其他地区</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2254</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赤峰市、通辽市、兴安盟、呼伦贝尔市</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1900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2250</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新疆</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乌鲁木齐市、伊犁哈萨克族自治州、克拉玛依市、石河子市</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1900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2357</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除乌鲁木齐市、伊犁哈萨克族自治州、克拉玛依市、石河子市以外其他地区</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1897</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甘肃</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嘉峪关市、酒泉市</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1792</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除嘉峪关市、酒泉市以外其他地区</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1723</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河北</w:t>
            </w:r>
          </w:p>
        </w:tc>
        <w:tc>
          <w:tcPr>
            <w:tcW w:w="112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张家口市</w:t>
            </w:r>
          </w:p>
        </w:tc>
        <w:tc>
          <w:tcPr>
            <w:tcW w:w="14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1900</w:t>
            </w:r>
          </w:p>
        </w:tc>
        <w:tc>
          <w:tcPr>
            <w:tcW w:w="183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2218</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宁夏</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宁夏</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1850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1888</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黑龙江</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鸡西市、双鸭山市、七台河市、绥化市、伊春市、大兴安岭地区</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1900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2224</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IV</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黑龙江省其他地区</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1850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2121</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吉林</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III</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白城市、松原市</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2019</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IV</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吉林省其他地区</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2321</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辽宁</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IV</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辽宁</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1850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2264</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2" w:hRule="atLeast"/>
        </w:trPr>
        <w:tc>
          <w:tcPr>
            <w:tcW w:w="112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山西</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IV</w:t>
            </w:r>
            <w:r>
              <w:rPr>
                <w:rFonts w:ascii="Times New Roman" w:hAnsi="宋体"/>
                <w:color w:val="000000"/>
                <w:kern w:val="0"/>
                <w:szCs w:val="21"/>
              </w:rPr>
              <w:t>类</w:t>
            </w:r>
          </w:p>
        </w:tc>
        <w:tc>
          <w:tcPr>
            <w:tcW w:w="630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忻州市、朔州市、大同市</w:t>
            </w:r>
          </w:p>
        </w:tc>
        <w:tc>
          <w:tcPr>
            <w:tcW w:w="1433"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1900</w:t>
            </w:r>
          </w:p>
        </w:tc>
        <w:tc>
          <w:tcPr>
            <w:tcW w:w="183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2267</w:t>
            </w:r>
          </w:p>
        </w:tc>
        <w:tc>
          <w:tcPr>
            <w:tcW w:w="155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367</w:t>
            </w:r>
          </w:p>
        </w:tc>
      </w:tr>
    </w:tbl>
    <w:p>
      <w:pPr>
        <w:jc w:val="center"/>
        <w:rPr>
          <w:rFonts w:ascii="Times New Roman" w:hAnsi="Times New Roman"/>
          <w:b/>
          <w:color w:val="000000"/>
          <w:kern w:val="0"/>
          <w:sz w:val="28"/>
          <w:szCs w:val="20"/>
        </w:rPr>
      </w:pPr>
    </w:p>
    <w:p>
      <w:pPr>
        <w:pStyle w:val="16"/>
        <w:rPr>
          <w:rFonts w:eastAsia="黑体"/>
        </w:rPr>
      </w:pPr>
      <w:r>
        <w:rPr>
          <w:rFonts w:hAnsi="黑体" w:eastAsia="黑体"/>
        </w:rPr>
        <w:t>表</w:t>
      </w:r>
      <w:r>
        <w:rPr>
          <w:rFonts w:eastAsia="黑体"/>
        </w:rPr>
        <w:t>4  2018</w:t>
      </w:r>
      <w:r>
        <w:rPr>
          <w:rFonts w:hAnsi="黑体" w:eastAsia="黑体"/>
        </w:rPr>
        <w:t>年光伏发电重点地区最低保障收购年利用小时数落实情况</w:t>
      </w:r>
    </w:p>
    <w:tbl>
      <w:tblPr>
        <w:tblW w:w="135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70"/>
        <w:gridCol w:w="1270"/>
        <w:gridCol w:w="5080"/>
        <w:gridCol w:w="2000"/>
        <w:gridCol w:w="2066"/>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77" w:hRule="atLeast"/>
        </w:trPr>
        <w:tc>
          <w:tcPr>
            <w:tcW w:w="12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2"/>
              </w:rPr>
            </w:pPr>
            <w:r>
              <w:rPr>
                <w:rFonts w:ascii="宋体" w:hAnsi="宋体"/>
                <w:b/>
                <w:bCs/>
                <w:kern w:val="0"/>
                <w:sz w:val="22"/>
              </w:rPr>
              <w:t>省（区）</w:t>
            </w:r>
          </w:p>
        </w:tc>
        <w:tc>
          <w:tcPr>
            <w:tcW w:w="127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rPr>
            </w:pPr>
            <w:r>
              <w:rPr>
                <w:rFonts w:ascii="宋体" w:hAnsi="宋体"/>
                <w:b/>
                <w:bCs/>
                <w:kern w:val="0"/>
                <w:sz w:val="22"/>
              </w:rPr>
              <w:t>资源区</w:t>
            </w:r>
          </w:p>
        </w:tc>
        <w:tc>
          <w:tcPr>
            <w:tcW w:w="508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rPr>
            </w:pPr>
            <w:r>
              <w:rPr>
                <w:rFonts w:ascii="宋体" w:hAnsi="宋体"/>
                <w:b/>
                <w:bCs/>
                <w:kern w:val="0"/>
                <w:sz w:val="22"/>
              </w:rPr>
              <w:t>地区</w:t>
            </w:r>
          </w:p>
        </w:tc>
        <w:tc>
          <w:tcPr>
            <w:tcW w:w="200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rPr>
            </w:pPr>
            <w:r>
              <w:rPr>
                <w:rFonts w:ascii="宋体" w:hAnsi="宋体"/>
                <w:b/>
                <w:bCs/>
                <w:kern w:val="0"/>
                <w:sz w:val="22"/>
              </w:rPr>
              <w:t>保障性收购利用小时数</w:t>
            </w:r>
          </w:p>
        </w:tc>
        <w:tc>
          <w:tcPr>
            <w:tcW w:w="2066"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rPr>
            </w:pPr>
            <w:r>
              <w:rPr>
                <w:rFonts w:ascii="宋体" w:hAnsi="宋体"/>
                <w:b/>
                <w:bCs/>
                <w:kern w:val="0"/>
                <w:sz w:val="22"/>
              </w:rPr>
              <w:t>2018年实际利用小时数</w:t>
            </w:r>
          </w:p>
        </w:tc>
        <w:tc>
          <w:tcPr>
            <w:tcW w:w="1817"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2"/>
              </w:rPr>
            </w:pPr>
            <w:r>
              <w:rPr>
                <w:rFonts w:ascii="宋体" w:hAnsi="宋体"/>
                <w:b/>
                <w:bCs/>
                <w:kern w:val="0"/>
                <w:sz w:val="22"/>
              </w:rPr>
              <w:t>2018年偏差小时数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67" w:hRule="atLeast"/>
        </w:trPr>
        <w:tc>
          <w:tcPr>
            <w:tcW w:w="127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内蒙古</w:t>
            </w:r>
          </w:p>
        </w:tc>
        <w:tc>
          <w:tcPr>
            <w:tcW w:w="1270"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除赤峰市、通辽市、兴安盟、呼伦贝尔市以外其他地区</w:t>
            </w:r>
          </w:p>
        </w:tc>
        <w:tc>
          <w:tcPr>
            <w:tcW w:w="2000"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1500</w:t>
            </w:r>
          </w:p>
        </w:tc>
        <w:tc>
          <w:tcPr>
            <w:tcW w:w="2066"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1649</w:t>
            </w:r>
          </w:p>
        </w:tc>
        <w:tc>
          <w:tcPr>
            <w:tcW w:w="181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7" w:hRule="atLeast"/>
        </w:trPr>
        <w:tc>
          <w:tcPr>
            <w:tcW w:w="12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1270"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宋体"/>
                <w:color w:val="000000"/>
                <w:kern w:val="0"/>
                <w:szCs w:val="21"/>
              </w:rPr>
              <w:t>赤峰市、通辽市、兴安盟、呼伦贝尔市</w:t>
            </w:r>
          </w:p>
        </w:tc>
        <w:tc>
          <w:tcPr>
            <w:tcW w:w="2000"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1400</w:t>
            </w:r>
          </w:p>
        </w:tc>
        <w:tc>
          <w:tcPr>
            <w:tcW w:w="2066"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1525</w:t>
            </w:r>
          </w:p>
        </w:tc>
        <w:tc>
          <w:tcPr>
            <w:tcW w:w="181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4" w:hRule="atLeast"/>
        </w:trPr>
        <w:tc>
          <w:tcPr>
            <w:tcW w:w="127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新疆</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哈密、塔城、阿勒泰、克拉玛依</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1353</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3" w:hRule="atLeast"/>
        </w:trPr>
        <w:tc>
          <w:tcPr>
            <w:tcW w:w="127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除</w:t>
            </w:r>
            <w:r>
              <w:rPr>
                <w:rFonts w:ascii="Times New Roman" w:hAnsi="Times New Roman"/>
                <w:color w:val="000000"/>
                <w:kern w:val="0"/>
                <w:szCs w:val="21"/>
              </w:rPr>
              <w:t>I</w:t>
            </w:r>
            <w:r>
              <w:rPr>
                <w:rFonts w:ascii="Times New Roman" w:hAnsi="宋体"/>
                <w:color w:val="000000"/>
                <w:kern w:val="0"/>
                <w:szCs w:val="21"/>
              </w:rPr>
              <w:t>类外其他地区</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1350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1217</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6" w:hRule="atLeast"/>
        </w:trPr>
        <w:tc>
          <w:tcPr>
            <w:tcW w:w="127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甘肃</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嘉峪关、武威、张掖、酒泉、敦煌、金昌</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1328</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2" w:hRule="atLeast"/>
        </w:trPr>
        <w:tc>
          <w:tcPr>
            <w:tcW w:w="127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除</w:t>
            </w:r>
            <w:r>
              <w:rPr>
                <w:rFonts w:ascii="Times New Roman" w:hAnsi="Times New Roman"/>
                <w:color w:val="000000"/>
                <w:kern w:val="0"/>
                <w:szCs w:val="21"/>
              </w:rPr>
              <w:t>I</w:t>
            </w:r>
            <w:r>
              <w:rPr>
                <w:rFonts w:ascii="Times New Roman" w:hAnsi="宋体"/>
                <w:color w:val="000000"/>
                <w:kern w:val="0"/>
                <w:szCs w:val="21"/>
              </w:rPr>
              <w:t>类外其他地区</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1200</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7" w:hRule="atLeast"/>
        </w:trPr>
        <w:tc>
          <w:tcPr>
            <w:tcW w:w="127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青海</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海西</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1505</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3" w:hRule="atLeast"/>
        </w:trPr>
        <w:tc>
          <w:tcPr>
            <w:tcW w:w="127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olor w:val="000000"/>
                <w:kern w:val="0"/>
                <w:szCs w:val="21"/>
              </w:rPr>
            </w:pP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除</w:t>
            </w:r>
            <w:r>
              <w:rPr>
                <w:rFonts w:ascii="Times New Roman" w:hAnsi="Times New Roman"/>
                <w:color w:val="000000"/>
                <w:kern w:val="0"/>
                <w:szCs w:val="21"/>
              </w:rPr>
              <w:t>I</w:t>
            </w:r>
            <w:r>
              <w:rPr>
                <w:rFonts w:ascii="Times New Roman" w:hAnsi="宋体"/>
                <w:color w:val="000000"/>
                <w:kern w:val="0"/>
                <w:szCs w:val="21"/>
              </w:rPr>
              <w:t>类外其他地区</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1450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1461</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6" w:hRule="atLeast"/>
        </w:trPr>
        <w:tc>
          <w:tcPr>
            <w:tcW w:w="127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宁夏</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宁夏</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1376</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62" w:hRule="atLeast"/>
        </w:trPr>
        <w:tc>
          <w:tcPr>
            <w:tcW w:w="127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陕西</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榆林、延安</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1316</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8" w:hRule="atLeast"/>
        </w:trPr>
        <w:tc>
          <w:tcPr>
            <w:tcW w:w="127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黑龙江</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黑龙江</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1311</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5" w:hRule="atLeast"/>
        </w:trPr>
        <w:tc>
          <w:tcPr>
            <w:tcW w:w="127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吉林</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吉林</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1283</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2" w:hRule="atLeast"/>
        </w:trPr>
        <w:tc>
          <w:tcPr>
            <w:tcW w:w="127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辽宁</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辽宁</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1207</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5" w:hRule="atLeast"/>
        </w:trPr>
        <w:tc>
          <w:tcPr>
            <w:tcW w:w="127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河北</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承德、张家口、唐山、秦皇岛</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1372</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3" w:hRule="atLeast"/>
        </w:trPr>
        <w:tc>
          <w:tcPr>
            <w:tcW w:w="127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宋体"/>
                <w:color w:val="000000"/>
                <w:kern w:val="0"/>
                <w:szCs w:val="21"/>
              </w:rPr>
              <w:t>山西</w:t>
            </w:r>
          </w:p>
        </w:tc>
        <w:tc>
          <w:tcPr>
            <w:tcW w:w="127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II</w:t>
            </w:r>
            <w:r>
              <w:rPr>
                <w:rFonts w:ascii="Times New Roman" w:hAnsi="宋体"/>
                <w:color w:val="000000"/>
                <w:kern w:val="0"/>
                <w:szCs w:val="21"/>
              </w:rPr>
              <w:t>类</w:t>
            </w:r>
          </w:p>
        </w:tc>
        <w:tc>
          <w:tcPr>
            <w:tcW w:w="5080"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color w:val="000000"/>
                <w:kern w:val="0"/>
                <w:szCs w:val="21"/>
              </w:rPr>
            </w:pPr>
            <w:r>
              <w:rPr>
                <w:rFonts w:ascii="Times New Roman" w:hAnsi="宋体"/>
                <w:color w:val="000000"/>
                <w:kern w:val="0"/>
                <w:szCs w:val="21"/>
              </w:rPr>
              <w:t>忻州、朔州、大同</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1400</w:t>
            </w:r>
          </w:p>
        </w:tc>
        <w:tc>
          <w:tcPr>
            <w:tcW w:w="206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1355</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r>
    </w:tbl>
    <w:p>
      <w:pPr>
        <w:ind w:firstLine="600" w:firstLineChars="200"/>
        <w:rPr>
          <w:rFonts w:ascii="Times New Roman" w:hAnsi="Times New Roman" w:eastAsia="仿宋_GB2312"/>
          <w:sz w:val="30"/>
          <w:szCs w:val="30"/>
        </w:rPr>
      </w:pPr>
    </w:p>
    <w:p>
      <w:pPr>
        <w:ind w:firstLine="600" w:firstLineChars="200"/>
        <w:rPr>
          <w:rFonts w:ascii="Times New Roman" w:hAnsi="Times New Roman" w:eastAsia="仿宋_GB2312"/>
          <w:sz w:val="30"/>
          <w:szCs w:val="30"/>
        </w:rPr>
        <w:sectPr>
          <w:footerReference r:id="rId6" w:type="even"/>
          <w:pgSz w:w="16838" w:h="11906" w:orient="landscape"/>
          <w:pgMar w:top="1797" w:right="1440" w:bottom="1797" w:left="1440" w:header="851" w:footer="992" w:gutter="0"/>
          <w:cols w:space="425" w:num="1"/>
          <w:docGrid w:linePitch="312" w:charSpace="0"/>
        </w:sectPr>
      </w:pPr>
    </w:p>
    <w:p>
      <w:pPr>
        <w:pStyle w:val="2"/>
        <w:ind w:firstLine="600"/>
      </w:pPr>
      <w:r>
        <w:t>五、清洁能源消纳目标完成情况</w:t>
      </w:r>
    </w:p>
    <w:p>
      <w:pPr>
        <w:spacing w:line="600"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根据2018年国家发展改革委、国家能源局印发的《清洁能源消纳行动计划（2018-2020年）》（发改能源规〔2018〕1575号），所确定的分年度风电、光伏发电和水电消纳目标，2018年，全国平均风电利用率93%，超过了2018年风电利用率的目标，重点省区全部达到了2018年消纳目标；全国平均光伏发电利用率为97%，超过了2018年平均光伏发电利用率的目标，重点省区中，新疆光伏发电利用率低于目标0.5个百分点；全国平均水能利用率95%，达到了2018年平均水能利用率的目标，重点省区中，四川水能利用率低于目标3个百分点。</w:t>
      </w:r>
    </w:p>
    <w:p>
      <w:pPr>
        <w:pStyle w:val="16"/>
        <w:spacing w:before="120"/>
      </w:pPr>
      <w:r>
        <w:rPr>
          <w:rFonts w:hAnsi="黑体" w:eastAsia="黑体"/>
        </w:rPr>
        <w:t>表</w:t>
      </w:r>
      <w:r>
        <w:rPr>
          <w:rFonts w:eastAsia="黑体"/>
        </w:rPr>
        <w:t>5  2018</w:t>
      </w:r>
      <w:r>
        <w:rPr>
          <w:rFonts w:hAnsi="黑体" w:eastAsia="黑体"/>
        </w:rPr>
        <w:t>年清洁能源消纳目标完成情况</w:t>
      </w:r>
    </w:p>
    <w:tbl>
      <w:tblPr>
        <w:tblW w:w="8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028"/>
        <w:gridCol w:w="1536"/>
        <w:gridCol w:w="1538"/>
        <w:gridCol w:w="1536"/>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2" w:hRule="atLeast"/>
        </w:trPr>
        <w:tc>
          <w:tcPr>
            <w:tcW w:w="2028" w:type="dxa"/>
            <w:vAlign w:val="top"/>
          </w:tcPr>
          <w:p>
            <w:pPr>
              <w:widowControl/>
              <w:jc w:val="center"/>
              <w:rPr>
                <w:rFonts w:ascii="Times New Roman" w:hAnsi="Times New Roman"/>
                <w:b/>
                <w:bCs/>
                <w:color w:val="000000"/>
                <w:kern w:val="0"/>
                <w:sz w:val="22"/>
              </w:rPr>
            </w:pPr>
            <w:r>
              <w:rPr>
                <w:rFonts w:ascii="Times New Roman" w:hAnsi="Times New Roman"/>
                <w:b/>
                <w:bCs/>
                <w:color w:val="000000"/>
                <w:kern w:val="0"/>
                <w:sz w:val="22"/>
              </w:rPr>
              <w:t xml:space="preserve"> </w:t>
            </w:r>
          </w:p>
        </w:tc>
        <w:tc>
          <w:tcPr>
            <w:tcW w:w="3074" w:type="dxa"/>
            <w:gridSpan w:val="2"/>
            <w:vAlign w:val="top"/>
          </w:tcPr>
          <w:p>
            <w:pPr>
              <w:widowControl/>
              <w:jc w:val="center"/>
              <w:rPr>
                <w:rFonts w:ascii="Times New Roman" w:hAnsi="Times New Roman"/>
                <w:b/>
                <w:bCs/>
                <w:color w:val="000000"/>
                <w:kern w:val="0"/>
                <w:sz w:val="22"/>
              </w:rPr>
            </w:pPr>
            <w:r>
              <w:rPr>
                <w:rFonts w:ascii="Times New Roman" w:hAnsi="Times New Roman"/>
                <w:b/>
                <w:bCs/>
                <w:color w:val="000000"/>
                <w:kern w:val="0"/>
                <w:sz w:val="22"/>
              </w:rPr>
              <w:t>2018年消纳目标</w:t>
            </w:r>
          </w:p>
        </w:tc>
        <w:tc>
          <w:tcPr>
            <w:tcW w:w="3076" w:type="dxa"/>
            <w:gridSpan w:val="2"/>
            <w:vAlign w:val="top"/>
          </w:tcPr>
          <w:p>
            <w:pPr>
              <w:widowControl/>
              <w:jc w:val="center"/>
              <w:rPr>
                <w:rFonts w:ascii="Times New Roman" w:hAnsi="Times New Roman"/>
                <w:b/>
                <w:bCs/>
                <w:color w:val="000000"/>
                <w:kern w:val="0"/>
                <w:sz w:val="22"/>
              </w:rPr>
            </w:pPr>
            <w:r>
              <w:rPr>
                <w:rFonts w:ascii="Times New Roman" w:hAnsi="Times New Roman"/>
                <w:b/>
                <w:bCs/>
                <w:color w:val="000000"/>
                <w:kern w:val="0"/>
                <w:sz w:val="22"/>
              </w:rPr>
              <w:t>2018年实际完成情况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2" w:hRule="atLeast"/>
        </w:trPr>
        <w:tc>
          <w:tcPr>
            <w:tcW w:w="2028" w:type="dxa"/>
            <w:vAlign w:val="top"/>
          </w:tcPr>
          <w:p>
            <w:pPr>
              <w:widowControl/>
              <w:jc w:val="center"/>
              <w:rPr>
                <w:rFonts w:ascii="Times New Roman" w:hAnsi="Times New Roman"/>
                <w:color w:val="000000"/>
                <w:kern w:val="0"/>
                <w:sz w:val="22"/>
              </w:rPr>
            </w:pPr>
            <w:r>
              <w:rPr>
                <w:rFonts w:ascii="Times New Roman" w:hAnsi="Times New Roman"/>
                <w:color w:val="000000"/>
                <w:kern w:val="0"/>
                <w:sz w:val="22"/>
              </w:rPr>
              <w:t xml:space="preserve"> </w:t>
            </w:r>
          </w:p>
        </w:tc>
        <w:tc>
          <w:tcPr>
            <w:tcW w:w="1536" w:type="dxa"/>
            <w:vAlign w:val="top"/>
          </w:tcPr>
          <w:p>
            <w:pPr>
              <w:widowControl/>
              <w:jc w:val="center"/>
              <w:rPr>
                <w:rFonts w:ascii="Times New Roman" w:hAnsi="Times New Roman"/>
                <w:color w:val="000000"/>
                <w:kern w:val="0"/>
                <w:sz w:val="22"/>
              </w:rPr>
            </w:pPr>
            <w:r>
              <w:rPr>
                <w:rFonts w:ascii="Times New Roman" w:hAnsi="Times New Roman"/>
                <w:color w:val="000000"/>
                <w:kern w:val="0"/>
                <w:sz w:val="22"/>
              </w:rPr>
              <w:t>利用率</w:t>
            </w:r>
          </w:p>
        </w:tc>
        <w:tc>
          <w:tcPr>
            <w:tcW w:w="1538" w:type="dxa"/>
            <w:vAlign w:val="top"/>
          </w:tcPr>
          <w:p>
            <w:pPr>
              <w:widowControl/>
              <w:jc w:val="center"/>
              <w:rPr>
                <w:rFonts w:ascii="Times New Roman" w:hAnsi="Times New Roman"/>
                <w:color w:val="000000"/>
                <w:kern w:val="0"/>
                <w:sz w:val="22"/>
              </w:rPr>
            </w:pPr>
            <w:r>
              <w:rPr>
                <w:rFonts w:ascii="Times New Roman" w:hAnsi="Times New Roman"/>
                <w:color w:val="000000"/>
                <w:kern w:val="0"/>
                <w:sz w:val="22"/>
              </w:rPr>
              <w:t>弃电率</w:t>
            </w:r>
          </w:p>
        </w:tc>
        <w:tc>
          <w:tcPr>
            <w:tcW w:w="1536" w:type="dxa"/>
            <w:vAlign w:val="top"/>
          </w:tcPr>
          <w:p>
            <w:pPr>
              <w:widowControl/>
              <w:jc w:val="center"/>
              <w:rPr>
                <w:rFonts w:ascii="Times New Roman" w:hAnsi="Times New Roman"/>
                <w:color w:val="000000"/>
                <w:kern w:val="0"/>
                <w:sz w:val="22"/>
              </w:rPr>
            </w:pPr>
            <w:r>
              <w:rPr>
                <w:rFonts w:ascii="Times New Roman" w:hAnsi="Times New Roman"/>
                <w:color w:val="000000"/>
                <w:kern w:val="0"/>
                <w:sz w:val="22"/>
              </w:rPr>
              <w:t>利用率</w:t>
            </w:r>
          </w:p>
        </w:tc>
        <w:tc>
          <w:tcPr>
            <w:tcW w:w="1540" w:type="dxa"/>
            <w:vAlign w:val="top"/>
          </w:tcPr>
          <w:p>
            <w:pPr>
              <w:widowControl/>
              <w:jc w:val="center"/>
              <w:rPr>
                <w:rFonts w:ascii="Times New Roman" w:hAnsi="Times New Roman"/>
                <w:color w:val="000000"/>
                <w:kern w:val="0"/>
                <w:sz w:val="22"/>
              </w:rPr>
            </w:pPr>
            <w:r>
              <w:rPr>
                <w:rFonts w:ascii="Times New Roman" w:hAnsi="Times New Roman"/>
                <w:color w:val="000000"/>
                <w:kern w:val="0"/>
                <w:sz w:val="22"/>
              </w:rPr>
              <w:t>弃电率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left"/>
              <w:rPr>
                <w:rFonts w:ascii="Times New Roman" w:hAnsi="Times New Roman"/>
                <w:color w:val="000000"/>
                <w:kern w:val="0"/>
                <w:szCs w:val="21"/>
              </w:rPr>
            </w:pPr>
            <w:r>
              <w:rPr>
                <w:rFonts w:ascii="Times New Roman" w:hAnsi="Times New Roman"/>
                <w:color w:val="000000"/>
                <w:kern w:val="0"/>
                <w:szCs w:val="21"/>
              </w:rPr>
              <w:t>一、风电</w:t>
            </w:r>
          </w:p>
        </w:tc>
        <w:tc>
          <w:tcPr>
            <w:tcW w:w="1536" w:type="dxa"/>
            <w:vAlign w:val="center"/>
          </w:tcPr>
          <w:p>
            <w:pPr>
              <w:widowControl/>
              <w:jc w:val="center"/>
              <w:rPr>
                <w:rFonts w:ascii="Times New Roman" w:hAnsi="Times New Roman"/>
                <w:color w:val="000000"/>
                <w:kern w:val="0"/>
                <w:szCs w:val="21"/>
              </w:rPr>
            </w:pPr>
          </w:p>
        </w:tc>
        <w:tc>
          <w:tcPr>
            <w:tcW w:w="1538" w:type="dxa"/>
            <w:vAlign w:val="center"/>
          </w:tcPr>
          <w:p>
            <w:pPr>
              <w:widowControl/>
              <w:jc w:val="center"/>
              <w:rPr>
                <w:rFonts w:ascii="Times New Roman" w:hAnsi="Times New Roman"/>
                <w:color w:val="000000"/>
                <w:kern w:val="0"/>
                <w:szCs w:val="21"/>
              </w:rPr>
            </w:pPr>
          </w:p>
        </w:tc>
        <w:tc>
          <w:tcPr>
            <w:tcW w:w="1536" w:type="dxa"/>
            <w:vAlign w:val="center"/>
          </w:tcPr>
          <w:p>
            <w:pPr>
              <w:widowControl/>
              <w:jc w:val="center"/>
              <w:rPr>
                <w:rFonts w:ascii="Times New Roman" w:hAnsi="Times New Roman"/>
                <w:color w:val="000000"/>
                <w:kern w:val="0"/>
                <w:szCs w:val="21"/>
              </w:rPr>
            </w:pPr>
          </w:p>
        </w:tc>
        <w:tc>
          <w:tcPr>
            <w:tcW w:w="1540"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center"/>
              <w:rPr>
                <w:rFonts w:ascii="Times New Roman" w:hAnsi="Times New Roman"/>
                <w:b/>
                <w:color w:val="000000"/>
                <w:kern w:val="0"/>
                <w:szCs w:val="21"/>
              </w:rPr>
            </w:pPr>
            <w:r>
              <w:rPr>
                <w:rFonts w:ascii="Times New Roman" w:hAnsi="Times New Roman"/>
                <w:b/>
                <w:color w:val="000000"/>
                <w:kern w:val="0"/>
                <w:szCs w:val="21"/>
              </w:rPr>
              <w:t>全  国</w:t>
            </w:r>
          </w:p>
        </w:tc>
        <w:tc>
          <w:tcPr>
            <w:tcW w:w="1536"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88%</w:t>
            </w:r>
          </w:p>
        </w:tc>
        <w:tc>
          <w:tcPr>
            <w:tcW w:w="1538"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12%</w:t>
            </w:r>
          </w:p>
        </w:tc>
        <w:tc>
          <w:tcPr>
            <w:tcW w:w="1536"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93.0%</w:t>
            </w:r>
          </w:p>
        </w:tc>
        <w:tc>
          <w:tcPr>
            <w:tcW w:w="1540"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center"/>
              <w:rPr>
                <w:rFonts w:ascii="Times New Roman" w:hAnsi="Times New Roman"/>
                <w:color w:val="000000"/>
                <w:kern w:val="0"/>
                <w:szCs w:val="21"/>
              </w:rPr>
            </w:pPr>
            <w:r>
              <w:rPr>
                <w:rFonts w:ascii="Times New Roman" w:hAnsi="Times New Roman"/>
                <w:color w:val="000000"/>
                <w:kern w:val="0"/>
                <w:szCs w:val="21"/>
              </w:rPr>
              <w:t>新  疆</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75%</w:t>
            </w:r>
          </w:p>
        </w:tc>
        <w:tc>
          <w:tcPr>
            <w:tcW w:w="153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25%</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77.1%</w:t>
            </w:r>
          </w:p>
        </w:tc>
        <w:tc>
          <w:tcPr>
            <w:tcW w:w="1540"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2" w:hRule="atLeast"/>
        </w:trPr>
        <w:tc>
          <w:tcPr>
            <w:tcW w:w="2028" w:type="dxa"/>
            <w:vAlign w:val="top"/>
          </w:tcPr>
          <w:p>
            <w:pPr>
              <w:widowControl/>
              <w:jc w:val="center"/>
              <w:rPr>
                <w:rFonts w:ascii="Times New Roman" w:hAnsi="Times New Roman"/>
                <w:color w:val="000000"/>
                <w:kern w:val="0"/>
                <w:szCs w:val="21"/>
              </w:rPr>
            </w:pPr>
            <w:r>
              <w:rPr>
                <w:rFonts w:ascii="Times New Roman" w:hAnsi="Times New Roman"/>
                <w:color w:val="000000"/>
                <w:kern w:val="0"/>
                <w:szCs w:val="21"/>
              </w:rPr>
              <w:t>甘  肃</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77%</w:t>
            </w:r>
          </w:p>
        </w:tc>
        <w:tc>
          <w:tcPr>
            <w:tcW w:w="153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23%</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81.0%</w:t>
            </w:r>
          </w:p>
        </w:tc>
        <w:tc>
          <w:tcPr>
            <w:tcW w:w="1540"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center"/>
              <w:rPr>
                <w:rFonts w:ascii="Times New Roman" w:hAnsi="Times New Roman"/>
                <w:color w:val="000000"/>
                <w:kern w:val="0"/>
                <w:szCs w:val="21"/>
              </w:rPr>
            </w:pPr>
            <w:r>
              <w:rPr>
                <w:rFonts w:ascii="Times New Roman" w:hAnsi="Times New Roman"/>
                <w:color w:val="000000"/>
                <w:kern w:val="0"/>
                <w:szCs w:val="21"/>
              </w:rPr>
              <w:t>黑龙江</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90%</w:t>
            </w:r>
          </w:p>
        </w:tc>
        <w:tc>
          <w:tcPr>
            <w:tcW w:w="153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95.6%</w:t>
            </w:r>
          </w:p>
        </w:tc>
        <w:tc>
          <w:tcPr>
            <w:tcW w:w="1540"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center"/>
              <w:rPr>
                <w:rFonts w:ascii="Times New Roman" w:hAnsi="Times New Roman"/>
                <w:color w:val="000000"/>
                <w:kern w:val="0"/>
                <w:szCs w:val="21"/>
              </w:rPr>
            </w:pPr>
            <w:r>
              <w:rPr>
                <w:rFonts w:ascii="Times New Roman" w:hAnsi="Times New Roman"/>
                <w:color w:val="000000"/>
                <w:kern w:val="0"/>
                <w:szCs w:val="21"/>
              </w:rPr>
              <w:t>内蒙古</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88%</w:t>
            </w:r>
          </w:p>
        </w:tc>
        <w:tc>
          <w:tcPr>
            <w:tcW w:w="153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90.0%</w:t>
            </w:r>
          </w:p>
        </w:tc>
        <w:tc>
          <w:tcPr>
            <w:tcW w:w="1540"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center"/>
              <w:rPr>
                <w:rFonts w:ascii="Times New Roman" w:hAnsi="Times New Roman"/>
                <w:color w:val="000000"/>
                <w:kern w:val="0"/>
                <w:szCs w:val="21"/>
              </w:rPr>
            </w:pPr>
            <w:r>
              <w:rPr>
                <w:rFonts w:ascii="Times New Roman" w:hAnsi="Times New Roman"/>
                <w:color w:val="000000"/>
                <w:kern w:val="0"/>
                <w:szCs w:val="21"/>
              </w:rPr>
              <w:t>吉  林</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85%</w:t>
            </w:r>
          </w:p>
        </w:tc>
        <w:tc>
          <w:tcPr>
            <w:tcW w:w="153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93.1%</w:t>
            </w:r>
          </w:p>
        </w:tc>
        <w:tc>
          <w:tcPr>
            <w:tcW w:w="1540"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center"/>
              <w:rPr>
                <w:rFonts w:ascii="Times New Roman" w:hAnsi="Times New Roman"/>
                <w:color w:val="000000"/>
                <w:kern w:val="0"/>
                <w:szCs w:val="21"/>
              </w:rPr>
            </w:pPr>
            <w:r>
              <w:rPr>
                <w:rFonts w:ascii="Times New Roman" w:hAnsi="Times New Roman"/>
                <w:color w:val="000000"/>
                <w:kern w:val="0"/>
                <w:szCs w:val="21"/>
              </w:rPr>
              <w:t>河  北</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94%</w:t>
            </w:r>
          </w:p>
        </w:tc>
        <w:tc>
          <w:tcPr>
            <w:tcW w:w="153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94.8%</w:t>
            </w:r>
          </w:p>
        </w:tc>
        <w:tc>
          <w:tcPr>
            <w:tcW w:w="1540"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left"/>
              <w:rPr>
                <w:rFonts w:ascii="Times New Roman" w:hAnsi="Times New Roman"/>
                <w:color w:val="000000"/>
                <w:kern w:val="0"/>
                <w:szCs w:val="21"/>
              </w:rPr>
            </w:pPr>
            <w:r>
              <w:rPr>
                <w:rFonts w:ascii="Times New Roman" w:hAnsi="Times New Roman"/>
                <w:color w:val="000000"/>
                <w:kern w:val="0"/>
                <w:szCs w:val="21"/>
              </w:rPr>
              <w:t>二、光伏</w:t>
            </w:r>
          </w:p>
        </w:tc>
        <w:tc>
          <w:tcPr>
            <w:tcW w:w="1536" w:type="dxa"/>
            <w:vAlign w:val="center"/>
          </w:tcPr>
          <w:p>
            <w:pPr>
              <w:widowControl/>
              <w:jc w:val="center"/>
              <w:rPr>
                <w:rFonts w:ascii="Times New Roman" w:hAnsi="Times New Roman"/>
                <w:color w:val="000000"/>
                <w:kern w:val="0"/>
                <w:szCs w:val="21"/>
              </w:rPr>
            </w:pPr>
          </w:p>
        </w:tc>
        <w:tc>
          <w:tcPr>
            <w:tcW w:w="1538" w:type="dxa"/>
            <w:vAlign w:val="center"/>
          </w:tcPr>
          <w:p>
            <w:pPr>
              <w:widowControl/>
              <w:jc w:val="center"/>
              <w:rPr>
                <w:rFonts w:ascii="Times New Roman" w:hAnsi="Times New Roman"/>
                <w:color w:val="000000"/>
                <w:kern w:val="0"/>
                <w:szCs w:val="21"/>
              </w:rPr>
            </w:pPr>
          </w:p>
        </w:tc>
        <w:tc>
          <w:tcPr>
            <w:tcW w:w="1536" w:type="dxa"/>
            <w:vAlign w:val="center"/>
          </w:tcPr>
          <w:p>
            <w:pPr>
              <w:widowControl/>
              <w:jc w:val="center"/>
              <w:rPr>
                <w:rFonts w:ascii="Times New Roman" w:hAnsi="Times New Roman"/>
                <w:color w:val="000000"/>
                <w:kern w:val="0"/>
                <w:szCs w:val="21"/>
              </w:rPr>
            </w:pPr>
          </w:p>
        </w:tc>
        <w:tc>
          <w:tcPr>
            <w:tcW w:w="1540"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center"/>
              <w:rPr>
                <w:rFonts w:ascii="Times New Roman" w:hAnsi="Times New Roman"/>
                <w:b/>
                <w:color w:val="000000"/>
                <w:kern w:val="0"/>
                <w:szCs w:val="21"/>
              </w:rPr>
            </w:pPr>
            <w:r>
              <w:rPr>
                <w:rFonts w:ascii="Times New Roman" w:hAnsi="Times New Roman"/>
                <w:b/>
                <w:color w:val="000000"/>
                <w:kern w:val="0"/>
                <w:szCs w:val="21"/>
              </w:rPr>
              <w:t>全</w:t>
            </w:r>
            <w:r>
              <w:rPr>
                <w:rFonts w:hint="eastAsia" w:ascii="Times New Roman" w:hAnsi="Times New Roman"/>
                <w:b/>
                <w:color w:val="000000"/>
                <w:kern w:val="0"/>
                <w:szCs w:val="21"/>
              </w:rPr>
              <w:t xml:space="preserve">  </w:t>
            </w:r>
            <w:r>
              <w:rPr>
                <w:rFonts w:ascii="Times New Roman" w:hAnsi="Times New Roman"/>
                <w:b/>
                <w:color w:val="000000"/>
                <w:kern w:val="0"/>
                <w:szCs w:val="21"/>
              </w:rPr>
              <w:t>国</w:t>
            </w:r>
          </w:p>
        </w:tc>
        <w:tc>
          <w:tcPr>
            <w:tcW w:w="1536"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95%</w:t>
            </w:r>
          </w:p>
        </w:tc>
        <w:tc>
          <w:tcPr>
            <w:tcW w:w="1538"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5%</w:t>
            </w:r>
          </w:p>
        </w:tc>
        <w:tc>
          <w:tcPr>
            <w:tcW w:w="1536"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97.0%</w:t>
            </w:r>
          </w:p>
        </w:tc>
        <w:tc>
          <w:tcPr>
            <w:tcW w:w="1540"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top"/>
          </w:tcPr>
          <w:p>
            <w:pPr>
              <w:widowControl/>
              <w:jc w:val="center"/>
              <w:rPr>
                <w:rFonts w:ascii="Times New Roman" w:hAnsi="Times New Roman"/>
                <w:color w:val="000000"/>
                <w:kern w:val="0"/>
                <w:szCs w:val="21"/>
              </w:rPr>
            </w:pPr>
            <w:r>
              <w:rPr>
                <w:rFonts w:ascii="Times New Roman" w:hAnsi="Times New Roman"/>
                <w:color w:val="000000"/>
                <w:kern w:val="0"/>
                <w:szCs w:val="21"/>
              </w:rPr>
              <w:t>新  疆</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85%</w:t>
            </w:r>
          </w:p>
        </w:tc>
        <w:tc>
          <w:tcPr>
            <w:tcW w:w="153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84.5%</w:t>
            </w:r>
          </w:p>
        </w:tc>
        <w:tc>
          <w:tcPr>
            <w:tcW w:w="1540"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2" w:hRule="atLeast"/>
        </w:trPr>
        <w:tc>
          <w:tcPr>
            <w:tcW w:w="2028" w:type="dxa"/>
            <w:vAlign w:val="top"/>
          </w:tcPr>
          <w:p>
            <w:pPr>
              <w:widowControl/>
              <w:jc w:val="center"/>
              <w:rPr>
                <w:rFonts w:ascii="Times New Roman" w:hAnsi="Times New Roman"/>
                <w:color w:val="000000"/>
                <w:kern w:val="0"/>
                <w:szCs w:val="21"/>
              </w:rPr>
            </w:pPr>
            <w:r>
              <w:rPr>
                <w:rFonts w:ascii="Times New Roman" w:hAnsi="Times New Roman"/>
                <w:color w:val="000000"/>
                <w:kern w:val="0"/>
                <w:szCs w:val="21"/>
              </w:rPr>
              <w:t>甘  肃</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90%</w:t>
            </w:r>
          </w:p>
        </w:tc>
        <w:tc>
          <w:tcPr>
            <w:tcW w:w="153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90.2%</w:t>
            </w:r>
          </w:p>
        </w:tc>
        <w:tc>
          <w:tcPr>
            <w:tcW w:w="1540"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center"/>
          </w:tcPr>
          <w:p>
            <w:pPr>
              <w:widowControl/>
              <w:rPr>
                <w:rFonts w:ascii="Times New Roman" w:hAnsi="Times New Roman"/>
                <w:color w:val="000000"/>
                <w:kern w:val="0"/>
                <w:szCs w:val="21"/>
              </w:rPr>
            </w:pPr>
            <w:r>
              <w:rPr>
                <w:rFonts w:ascii="Times New Roman" w:hAnsi="Times New Roman"/>
                <w:color w:val="000000"/>
                <w:kern w:val="0"/>
                <w:szCs w:val="21"/>
              </w:rPr>
              <w:t>三、水电</w:t>
            </w:r>
          </w:p>
        </w:tc>
        <w:tc>
          <w:tcPr>
            <w:tcW w:w="1536" w:type="dxa"/>
            <w:vAlign w:val="center"/>
          </w:tcPr>
          <w:p>
            <w:pPr>
              <w:widowControl/>
              <w:jc w:val="center"/>
              <w:rPr>
                <w:rFonts w:ascii="Times New Roman" w:hAnsi="Times New Roman"/>
                <w:color w:val="000000"/>
                <w:kern w:val="0"/>
                <w:szCs w:val="21"/>
              </w:rPr>
            </w:pPr>
          </w:p>
        </w:tc>
        <w:tc>
          <w:tcPr>
            <w:tcW w:w="1538" w:type="dxa"/>
            <w:vAlign w:val="center"/>
          </w:tcPr>
          <w:p>
            <w:pPr>
              <w:widowControl/>
              <w:jc w:val="center"/>
              <w:rPr>
                <w:rFonts w:ascii="Times New Roman" w:hAnsi="Times New Roman"/>
                <w:color w:val="000000"/>
                <w:kern w:val="0"/>
                <w:szCs w:val="21"/>
              </w:rPr>
            </w:pPr>
          </w:p>
        </w:tc>
        <w:tc>
          <w:tcPr>
            <w:tcW w:w="1536" w:type="dxa"/>
            <w:vAlign w:val="center"/>
          </w:tcPr>
          <w:p>
            <w:pPr>
              <w:widowControl/>
              <w:jc w:val="center"/>
              <w:rPr>
                <w:rFonts w:ascii="Times New Roman" w:hAnsi="Times New Roman"/>
                <w:color w:val="000000"/>
                <w:kern w:val="0"/>
                <w:szCs w:val="21"/>
              </w:rPr>
            </w:pPr>
          </w:p>
        </w:tc>
        <w:tc>
          <w:tcPr>
            <w:tcW w:w="1540"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全</w:t>
            </w:r>
            <w:r>
              <w:rPr>
                <w:rFonts w:hint="eastAsia" w:ascii="Times New Roman" w:hAnsi="Times New Roman"/>
                <w:b/>
                <w:color w:val="000000"/>
                <w:kern w:val="0"/>
                <w:szCs w:val="21"/>
              </w:rPr>
              <w:t xml:space="preserve">  </w:t>
            </w:r>
            <w:r>
              <w:rPr>
                <w:rFonts w:ascii="Times New Roman" w:hAnsi="Times New Roman"/>
                <w:b/>
                <w:color w:val="000000"/>
                <w:kern w:val="0"/>
                <w:szCs w:val="21"/>
              </w:rPr>
              <w:t>国</w:t>
            </w:r>
          </w:p>
        </w:tc>
        <w:tc>
          <w:tcPr>
            <w:tcW w:w="1536"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95%</w:t>
            </w:r>
          </w:p>
        </w:tc>
        <w:tc>
          <w:tcPr>
            <w:tcW w:w="1538" w:type="dxa"/>
            <w:vAlign w:val="center"/>
          </w:tcPr>
          <w:p>
            <w:pPr>
              <w:widowControl/>
              <w:jc w:val="center"/>
              <w:rPr>
                <w:rFonts w:ascii="Times New Roman" w:hAnsi="Times New Roman"/>
                <w:b/>
                <w:color w:val="000000"/>
                <w:kern w:val="0"/>
                <w:szCs w:val="21"/>
              </w:rPr>
            </w:pPr>
          </w:p>
        </w:tc>
        <w:tc>
          <w:tcPr>
            <w:tcW w:w="1536" w:type="dxa"/>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95%</w:t>
            </w:r>
          </w:p>
        </w:tc>
        <w:tc>
          <w:tcPr>
            <w:tcW w:w="1540"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四</w:t>
            </w:r>
            <w:r>
              <w:rPr>
                <w:rFonts w:hint="eastAsia" w:ascii="Times New Roman" w:hAnsi="Times New Roman"/>
                <w:color w:val="000000"/>
                <w:kern w:val="0"/>
                <w:szCs w:val="21"/>
              </w:rPr>
              <w:t xml:space="preserve">  </w:t>
            </w:r>
            <w:r>
              <w:rPr>
                <w:rFonts w:ascii="Times New Roman" w:hAnsi="Times New Roman"/>
                <w:color w:val="000000"/>
                <w:kern w:val="0"/>
                <w:szCs w:val="21"/>
              </w:rPr>
              <w:t>川</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90%</w:t>
            </w:r>
          </w:p>
        </w:tc>
        <w:tc>
          <w:tcPr>
            <w:tcW w:w="1538" w:type="dxa"/>
            <w:vAlign w:val="center"/>
          </w:tcPr>
          <w:p>
            <w:pPr>
              <w:widowControl/>
              <w:jc w:val="center"/>
              <w:rPr>
                <w:rFonts w:ascii="Times New Roman" w:hAnsi="Times New Roman"/>
                <w:color w:val="000000"/>
                <w:kern w:val="0"/>
                <w:szCs w:val="21"/>
              </w:rPr>
            </w:pP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87%</w:t>
            </w:r>
          </w:p>
        </w:tc>
        <w:tc>
          <w:tcPr>
            <w:tcW w:w="1540"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云</w:t>
            </w:r>
            <w:r>
              <w:rPr>
                <w:rFonts w:hint="eastAsia" w:ascii="Times New Roman" w:hAnsi="Times New Roman"/>
                <w:color w:val="000000"/>
                <w:kern w:val="0"/>
                <w:szCs w:val="21"/>
              </w:rPr>
              <w:t xml:space="preserve">  </w:t>
            </w:r>
            <w:r>
              <w:rPr>
                <w:rFonts w:ascii="Times New Roman" w:hAnsi="Times New Roman"/>
                <w:color w:val="000000"/>
                <w:kern w:val="0"/>
                <w:szCs w:val="21"/>
              </w:rPr>
              <w:t>南</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90%</w:t>
            </w:r>
          </w:p>
        </w:tc>
        <w:tc>
          <w:tcPr>
            <w:tcW w:w="1538" w:type="dxa"/>
            <w:vAlign w:val="center"/>
          </w:tcPr>
          <w:p>
            <w:pPr>
              <w:widowControl/>
              <w:jc w:val="center"/>
              <w:rPr>
                <w:rFonts w:ascii="Times New Roman" w:hAnsi="Times New Roman"/>
                <w:color w:val="000000"/>
                <w:kern w:val="0"/>
                <w:szCs w:val="21"/>
              </w:rPr>
            </w:pP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94%</w:t>
            </w:r>
          </w:p>
        </w:tc>
        <w:tc>
          <w:tcPr>
            <w:tcW w:w="1540" w:type="dxa"/>
            <w:vAlign w:val="center"/>
          </w:tcPr>
          <w:p>
            <w:pPr>
              <w:widowControl/>
              <w:jc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trPr>
        <w:tc>
          <w:tcPr>
            <w:tcW w:w="2028"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广</w:t>
            </w:r>
            <w:r>
              <w:rPr>
                <w:rFonts w:hint="eastAsia" w:ascii="Times New Roman" w:hAnsi="Times New Roman"/>
                <w:color w:val="000000"/>
                <w:kern w:val="0"/>
                <w:szCs w:val="21"/>
              </w:rPr>
              <w:t xml:space="preserve">  </w:t>
            </w:r>
            <w:r>
              <w:rPr>
                <w:rFonts w:ascii="Times New Roman" w:hAnsi="Times New Roman"/>
                <w:color w:val="000000"/>
                <w:kern w:val="0"/>
                <w:szCs w:val="21"/>
              </w:rPr>
              <w:t>西</w:t>
            </w: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95%</w:t>
            </w:r>
          </w:p>
        </w:tc>
        <w:tc>
          <w:tcPr>
            <w:tcW w:w="1538" w:type="dxa"/>
            <w:vAlign w:val="center"/>
          </w:tcPr>
          <w:p>
            <w:pPr>
              <w:widowControl/>
              <w:jc w:val="center"/>
              <w:rPr>
                <w:rFonts w:ascii="Times New Roman" w:hAnsi="Times New Roman"/>
                <w:color w:val="000000"/>
                <w:kern w:val="0"/>
                <w:szCs w:val="21"/>
              </w:rPr>
            </w:pPr>
          </w:p>
        </w:tc>
        <w:tc>
          <w:tcPr>
            <w:tcW w:w="1536" w:type="dxa"/>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100%</w:t>
            </w:r>
          </w:p>
        </w:tc>
        <w:tc>
          <w:tcPr>
            <w:tcW w:w="1540" w:type="dxa"/>
            <w:vAlign w:val="center"/>
          </w:tcPr>
          <w:p>
            <w:pPr>
              <w:widowControl/>
              <w:jc w:val="center"/>
              <w:rPr>
                <w:rFonts w:ascii="Times New Roman" w:hAnsi="Times New Roman"/>
                <w:color w:val="000000"/>
                <w:kern w:val="0"/>
                <w:szCs w:val="21"/>
              </w:rPr>
            </w:pPr>
          </w:p>
        </w:tc>
      </w:tr>
    </w:tbl>
    <w:p>
      <w:pPr>
        <w:pStyle w:val="2"/>
        <w:ind w:firstLine="600"/>
      </w:pPr>
      <w:r>
        <w:t>六、特高压线路输送可再生能源情况</w:t>
      </w:r>
    </w:p>
    <w:p>
      <w:pPr>
        <w:spacing w:line="60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2018年，20条特高压线路年输送电量3983亿千瓦时，其中输送可再生能源电量2084亿千瓦时，占全部年输送电量的52%。国家电网公司经营区覆盖范围内的17条特高压线路输送电量3295亿千瓦时，其中可再生能源电量1396亿千瓦时，占输送电量的</w:t>
      </w:r>
      <w:r>
        <w:rPr>
          <w:rFonts w:hint="eastAsia" w:ascii="Times New Roman" w:hAnsi="Times New Roman" w:eastAsia="方正仿宋_GBK"/>
          <w:sz w:val="30"/>
          <w:szCs w:val="30"/>
        </w:rPr>
        <w:t>42</w:t>
      </w:r>
      <w:r>
        <w:rPr>
          <w:rFonts w:ascii="Times New Roman" w:hAnsi="Times New Roman" w:eastAsia="方正仿宋_GBK"/>
          <w:sz w:val="30"/>
          <w:szCs w:val="30"/>
        </w:rPr>
        <w:t>%；南方电网公司经营区覆盖范围内的3条特高压线路输送电量688亿千瓦时，全部为可再生能源电量。</w:t>
      </w:r>
    </w:p>
    <w:p>
      <w:pPr>
        <w:pStyle w:val="16"/>
        <w:rPr>
          <w:rFonts w:eastAsia="黑体"/>
        </w:rPr>
      </w:pPr>
      <w:r>
        <w:rPr>
          <w:rFonts w:eastAsia="黑体"/>
        </w:rPr>
        <w:t>表6  2018年特高压线路输送电量情况</w:t>
      </w:r>
    </w:p>
    <w:tbl>
      <w:tblPr>
        <w:tblW w:w="842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03"/>
        <w:gridCol w:w="2279"/>
        <w:gridCol w:w="1724"/>
        <w:gridCol w:w="1724"/>
        <w:gridCol w:w="1095"/>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75" w:hRule="atLeast"/>
        </w:trPr>
        <w:tc>
          <w:tcPr>
            <w:tcW w:w="8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kern w:val="0"/>
                <w:sz w:val="22"/>
                <w:szCs w:val="24"/>
              </w:rPr>
            </w:pPr>
            <w:r>
              <w:rPr>
                <w:rFonts w:ascii="Times New Roman" w:hAnsi="Times New Roman"/>
                <w:b/>
                <w:kern w:val="0"/>
                <w:sz w:val="22"/>
                <w:szCs w:val="24"/>
              </w:rPr>
              <w:t>序号</w:t>
            </w:r>
          </w:p>
        </w:tc>
        <w:tc>
          <w:tcPr>
            <w:tcW w:w="227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 w:val="22"/>
                <w:szCs w:val="24"/>
              </w:rPr>
            </w:pPr>
            <w:r>
              <w:rPr>
                <w:rFonts w:ascii="Times New Roman" w:hAnsi="Times New Roman"/>
                <w:b/>
                <w:bCs/>
                <w:kern w:val="0"/>
                <w:sz w:val="22"/>
                <w:szCs w:val="24"/>
              </w:rPr>
              <w:t>线路名称</w:t>
            </w:r>
          </w:p>
        </w:tc>
        <w:tc>
          <w:tcPr>
            <w:tcW w:w="172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 w:val="22"/>
                <w:szCs w:val="24"/>
              </w:rPr>
            </w:pPr>
            <w:r>
              <w:rPr>
                <w:rFonts w:ascii="Times New Roman" w:hAnsi="Times New Roman"/>
                <w:b/>
                <w:kern w:val="0"/>
                <w:sz w:val="22"/>
                <w:szCs w:val="24"/>
              </w:rPr>
              <w:t>年输送量（亿千瓦时）</w:t>
            </w:r>
          </w:p>
        </w:tc>
        <w:tc>
          <w:tcPr>
            <w:tcW w:w="172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 w:val="22"/>
                <w:szCs w:val="24"/>
              </w:rPr>
            </w:pPr>
            <w:r>
              <w:rPr>
                <w:rFonts w:ascii="Times New Roman" w:hAnsi="Times New Roman"/>
                <w:b/>
                <w:kern w:val="0"/>
                <w:sz w:val="22"/>
                <w:szCs w:val="24"/>
              </w:rPr>
              <w:t>可再生能源（亿千瓦时）</w:t>
            </w:r>
          </w:p>
        </w:tc>
        <w:tc>
          <w:tcPr>
            <w:tcW w:w="10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 w:val="22"/>
                <w:szCs w:val="24"/>
              </w:rPr>
            </w:pPr>
            <w:r>
              <w:rPr>
                <w:rFonts w:ascii="Times New Roman" w:hAnsi="Times New Roman"/>
                <w:b/>
                <w:kern w:val="0"/>
                <w:sz w:val="22"/>
                <w:szCs w:val="24"/>
              </w:rPr>
              <w:t>可再生能源占比</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kern w:val="0"/>
                <w:sz w:val="22"/>
                <w:szCs w:val="24"/>
              </w:rPr>
            </w:pPr>
            <w:r>
              <w:rPr>
                <w:rFonts w:hint="eastAsia" w:ascii="Times New Roman" w:hAnsi="Times New Roman"/>
                <w:b/>
                <w:kern w:val="0"/>
                <w:sz w:val="22"/>
                <w:szCs w:val="24"/>
              </w:rPr>
              <w:t>占比同比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长南荆特高压</w:t>
            </w:r>
          </w:p>
        </w:tc>
        <w:tc>
          <w:tcPr>
            <w:tcW w:w="172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szCs w:val="21"/>
              </w:rPr>
              <w:t>63.6</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29.0</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45.6%</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szCs w:val="21"/>
              </w:rPr>
            </w:pPr>
            <w:r>
              <w:rPr>
                <w:rFonts w:hint="eastAsia" w:ascii="Times New Roman" w:hAnsi="Times New Roman"/>
                <w:szCs w:val="21"/>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榆横至潍坊特高压</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38.0</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0.0</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0.0%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锡盟送山东</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29.2</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0.0</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0.0%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皖电东送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677.4</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0.0</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0.0%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浙福特高压</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69.4</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0.0</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0.0%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蒙西-天津南</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78.9</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0.0</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0.0%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复奉直流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307.0</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297.9</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97.0%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锦苏直流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387.3</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369.2</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95.3%</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天中直流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324.8</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158.3</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48.7%</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宾金直流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316.2</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314.1</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99.3%</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11</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灵绍直流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377.8</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84.5</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22.4%</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祁韶直流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177.3</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83.3</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47.0%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13</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雁淮直流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180.3</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9.0</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5.0%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锡泰直流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56.2</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0.4</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0.7%</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昭沂直流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13.8</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1.9</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13.9%</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16</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鲁固直流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150.3</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47.5</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31.6%</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9"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17</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吉泉直流</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47.6</w:t>
            </w:r>
          </w:p>
        </w:tc>
        <w:tc>
          <w:tcPr>
            <w:tcW w:w="1724" w:type="dxa"/>
            <w:tcBorders>
              <w:top w:val="nil"/>
              <w:left w:val="nil"/>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1.1</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2.3%</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8"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楚穗直流</w:t>
            </w:r>
          </w:p>
        </w:tc>
        <w:tc>
          <w:tcPr>
            <w:tcW w:w="172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254.4</w:t>
            </w:r>
          </w:p>
        </w:tc>
        <w:tc>
          <w:tcPr>
            <w:tcW w:w="172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254.4</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100.0%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8"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19</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普侨直流</w:t>
            </w:r>
          </w:p>
        </w:tc>
        <w:tc>
          <w:tcPr>
            <w:tcW w:w="172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252.5</w:t>
            </w:r>
          </w:p>
        </w:tc>
        <w:tc>
          <w:tcPr>
            <w:tcW w:w="172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252.5</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100.0%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8" w:hRule="atLeast"/>
        </w:trPr>
        <w:tc>
          <w:tcPr>
            <w:tcW w:w="80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p>
        </w:tc>
        <w:tc>
          <w:tcPr>
            <w:tcW w:w="227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新东直流</w:t>
            </w:r>
          </w:p>
        </w:tc>
        <w:tc>
          <w:tcPr>
            <w:tcW w:w="172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181.0</w:t>
            </w:r>
          </w:p>
        </w:tc>
        <w:tc>
          <w:tcPr>
            <w:tcW w:w="172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181.0</w:t>
            </w:r>
          </w:p>
        </w:tc>
        <w:tc>
          <w:tcPr>
            <w:tcW w:w="1095" w:type="dxa"/>
            <w:tcBorders>
              <w:top w:val="nil"/>
              <w:left w:val="nil"/>
              <w:bottom w:val="single" w:color="auto" w:sz="4" w:space="0"/>
              <w:right w:val="single" w:color="auto" w:sz="4" w:space="0"/>
            </w:tcBorders>
            <w:vAlign w:val="bottom"/>
          </w:tcPr>
          <w:p>
            <w:pPr>
              <w:jc w:val="center"/>
              <w:rPr>
                <w:rFonts w:ascii="Times New Roman" w:hAnsi="Times New Roman"/>
                <w:color w:val="000000"/>
                <w:szCs w:val="21"/>
              </w:rPr>
            </w:pPr>
            <w:r>
              <w:rPr>
                <w:rFonts w:hint="eastAsia" w:ascii="Times New Roman" w:hAnsi="Times New Roman"/>
                <w:color w:val="000000"/>
                <w:szCs w:val="21"/>
              </w:rPr>
              <w:t>100.0%</w:t>
            </w:r>
          </w:p>
        </w:tc>
        <w:tc>
          <w:tcPr>
            <w:tcW w:w="795" w:type="dxa"/>
            <w:tcBorders>
              <w:top w:val="nil"/>
              <w:left w:val="nil"/>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8" w:hRule="atLeast"/>
        </w:trPr>
        <w:tc>
          <w:tcPr>
            <w:tcW w:w="308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全  国</w:t>
            </w:r>
          </w:p>
        </w:tc>
        <w:tc>
          <w:tcPr>
            <w:tcW w:w="172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3982.7</w:t>
            </w:r>
          </w:p>
        </w:tc>
        <w:tc>
          <w:tcPr>
            <w:tcW w:w="1724"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2083.9</w:t>
            </w:r>
          </w:p>
        </w:tc>
        <w:tc>
          <w:tcPr>
            <w:tcW w:w="1095" w:type="dxa"/>
            <w:tcBorders>
              <w:top w:val="nil"/>
              <w:left w:val="nil"/>
              <w:bottom w:val="single" w:color="auto" w:sz="4" w:space="0"/>
              <w:right w:val="single" w:color="auto" w:sz="4" w:space="0"/>
            </w:tcBorders>
            <w:vAlign w:val="center"/>
          </w:tcPr>
          <w:p>
            <w:pPr>
              <w:jc w:val="center"/>
              <w:rPr>
                <w:rFonts w:ascii="Times New Roman" w:hAnsi="Times New Roman"/>
                <w:b/>
                <w:color w:val="000000"/>
                <w:szCs w:val="21"/>
              </w:rPr>
            </w:pPr>
            <w:r>
              <w:rPr>
                <w:rFonts w:ascii="Times New Roman" w:hAnsi="Times New Roman"/>
                <w:b/>
                <w:color w:val="000000"/>
                <w:szCs w:val="21"/>
              </w:rPr>
              <w:t>52.3%</w:t>
            </w:r>
          </w:p>
        </w:tc>
        <w:tc>
          <w:tcPr>
            <w:tcW w:w="795"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w:t>
            </w:r>
          </w:p>
        </w:tc>
      </w:tr>
    </w:tbl>
    <w:p>
      <w:pPr>
        <w:widowControl/>
        <w:jc w:val="left"/>
        <w:rPr>
          <w:rFonts w:ascii="Times New Roman" w:hAnsi="Times New Roman"/>
        </w:rPr>
      </w:pPr>
      <w:r>
        <w:rPr>
          <w:rFonts w:ascii="Times New Roman" w:hAnsi="Times New Roman"/>
          <w:color w:val="000000"/>
          <w:kern w:val="0"/>
          <w:sz w:val="22"/>
          <w:szCs w:val="24"/>
        </w:rPr>
        <w:t>注：1-17项数据为国家电网公司报送，18-20项数据为南方电网公司报送。皖电东送中特高压年输送电量为294.7亿千瓦时</w:t>
      </w:r>
      <w:r>
        <w:rPr>
          <w:rFonts w:hint="eastAsia" w:ascii="Times New Roman" w:hAnsi="Times New Roman"/>
          <w:color w:val="000000"/>
          <w:kern w:val="0"/>
          <w:sz w:val="22"/>
          <w:szCs w:val="24"/>
        </w:rPr>
        <w:t>。/表示由于线路新投产等原因没有同比数据。</w:t>
      </w:r>
    </w:p>
    <w:p>
      <w:pPr>
        <w:pStyle w:val="2"/>
        <w:ind w:firstLine="600"/>
      </w:pPr>
      <w:r>
        <w:t>七、国家清洁能源示范省（区）落实情况</w:t>
      </w:r>
    </w:p>
    <w:p>
      <w:pPr>
        <w:spacing w:line="588" w:lineRule="exact"/>
        <w:ind w:firstLine="602" w:firstLineChars="200"/>
        <w:rPr>
          <w:rFonts w:ascii="Times New Roman" w:hAnsi="Times New Roman" w:eastAsia="方正仿宋_GBK"/>
          <w:sz w:val="30"/>
          <w:szCs w:val="30"/>
        </w:rPr>
      </w:pPr>
      <w:r>
        <w:rPr>
          <w:rFonts w:ascii="Times New Roman" w:hAnsi="Times New Roman" w:eastAsia="方正仿宋_GBK"/>
          <w:b/>
          <w:sz w:val="30"/>
          <w:szCs w:val="30"/>
        </w:rPr>
        <w:t>浙江。</w:t>
      </w:r>
      <w:r>
        <w:rPr>
          <w:rFonts w:ascii="Times New Roman" w:hAnsi="Times New Roman" w:eastAsia="方正仿宋_GBK"/>
          <w:sz w:val="30"/>
          <w:szCs w:val="30"/>
        </w:rPr>
        <w:t>2018年，全部可再生能源电力消纳量为827亿千瓦时</w:t>
      </w:r>
      <w:r>
        <w:rPr>
          <w:rFonts w:hint="eastAsia" w:ascii="Times New Roman" w:hAnsi="Times New Roman" w:eastAsia="方正仿宋_GBK"/>
          <w:sz w:val="30"/>
          <w:szCs w:val="30"/>
        </w:rPr>
        <w:t>（含购买可再生能源绿色电力证书20亿千瓦时）</w:t>
      </w:r>
      <w:r>
        <w:rPr>
          <w:rFonts w:ascii="Times New Roman" w:hAnsi="Times New Roman" w:eastAsia="方正仿宋_GBK"/>
          <w:sz w:val="30"/>
          <w:szCs w:val="30"/>
        </w:rPr>
        <w:t>，</w:t>
      </w:r>
      <w:r>
        <w:rPr>
          <w:rFonts w:hint="eastAsia" w:ascii="Times New Roman" w:hAnsi="Times New Roman" w:eastAsia="方正仿宋_GBK"/>
          <w:sz w:val="30"/>
          <w:szCs w:val="30"/>
        </w:rPr>
        <w:t>实际消纳量</w:t>
      </w:r>
      <w:r>
        <w:rPr>
          <w:rFonts w:ascii="Times New Roman" w:hAnsi="Times New Roman" w:eastAsia="方正仿宋_GBK"/>
          <w:sz w:val="30"/>
          <w:szCs w:val="30"/>
        </w:rPr>
        <w:t>占本省全社会用电量的比重为</w:t>
      </w:r>
      <w:r>
        <w:rPr>
          <w:rFonts w:hint="eastAsia" w:ascii="Times New Roman" w:hAnsi="Times New Roman" w:eastAsia="方正仿宋_GBK"/>
          <w:sz w:val="30"/>
          <w:szCs w:val="30"/>
        </w:rPr>
        <w:t>17.8</w:t>
      </w:r>
      <w:r>
        <w:rPr>
          <w:rFonts w:ascii="Times New Roman" w:hAnsi="Times New Roman" w:eastAsia="方正仿宋_GBK"/>
          <w:sz w:val="30"/>
          <w:szCs w:val="30"/>
        </w:rPr>
        <w:t>%</w:t>
      </w:r>
      <w:r>
        <w:rPr>
          <w:rFonts w:hint="eastAsia" w:ascii="Times New Roman" w:hAnsi="Times New Roman" w:eastAsia="方正仿宋_GBK"/>
          <w:sz w:val="30"/>
          <w:szCs w:val="30"/>
        </w:rPr>
        <w:t>，同比下降1.5个百分点</w:t>
      </w:r>
      <w:r>
        <w:rPr>
          <w:rFonts w:ascii="Times New Roman" w:hAnsi="Times New Roman" w:eastAsia="方正仿宋_GBK"/>
          <w:sz w:val="30"/>
          <w:szCs w:val="30"/>
        </w:rPr>
        <w:t>；非水电可再生能源电力消纳量为260亿千瓦时</w:t>
      </w:r>
      <w:r>
        <w:rPr>
          <w:rFonts w:hint="eastAsia" w:ascii="Times New Roman" w:hAnsi="Times New Roman" w:eastAsia="方正仿宋_GBK"/>
          <w:sz w:val="30"/>
          <w:szCs w:val="30"/>
        </w:rPr>
        <w:t>（含购买可再生能源绿色电力证书20亿千瓦时）</w:t>
      </w:r>
      <w:r>
        <w:rPr>
          <w:rFonts w:ascii="Times New Roman" w:hAnsi="Times New Roman" w:eastAsia="方正仿宋_GBK"/>
          <w:sz w:val="30"/>
          <w:szCs w:val="30"/>
        </w:rPr>
        <w:t>，</w:t>
      </w:r>
      <w:r>
        <w:rPr>
          <w:rFonts w:hint="eastAsia" w:ascii="Times New Roman" w:hAnsi="Times New Roman" w:eastAsia="方正仿宋_GBK"/>
          <w:sz w:val="30"/>
          <w:szCs w:val="30"/>
        </w:rPr>
        <w:t>实际消纳量</w:t>
      </w:r>
      <w:r>
        <w:rPr>
          <w:rFonts w:ascii="Times New Roman" w:hAnsi="Times New Roman" w:eastAsia="方正仿宋_GBK"/>
          <w:sz w:val="30"/>
          <w:szCs w:val="30"/>
        </w:rPr>
        <w:t>占本省全社会用电量的比重为5.</w:t>
      </w:r>
      <w:r>
        <w:rPr>
          <w:rFonts w:hint="eastAsia" w:ascii="Times New Roman" w:hAnsi="Times New Roman" w:eastAsia="方正仿宋_GBK"/>
          <w:sz w:val="30"/>
          <w:szCs w:val="30"/>
        </w:rPr>
        <w:t>3</w:t>
      </w:r>
      <w:r>
        <w:rPr>
          <w:rFonts w:ascii="Times New Roman" w:hAnsi="Times New Roman" w:eastAsia="方正仿宋_GBK"/>
          <w:sz w:val="30"/>
          <w:szCs w:val="30"/>
        </w:rPr>
        <w:t>%，同比上升1.</w:t>
      </w:r>
      <w:r>
        <w:rPr>
          <w:rFonts w:hint="eastAsia" w:ascii="Times New Roman" w:hAnsi="Times New Roman" w:eastAsia="方正仿宋_GBK"/>
          <w:sz w:val="30"/>
          <w:szCs w:val="30"/>
        </w:rPr>
        <w:t>1</w:t>
      </w:r>
      <w:r>
        <w:rPr>
          <w:rFonts w:ascii="Times New Roman" w:hAnsi="Times New Roman" w:eastAsia="方正仿宋_GBK"/>
          <w:sz w:val="30"/>
          <w:szCs w:val="30"/>
        </w:rPr>
        <w:t>个百分点</w:t>
      </w:r>
      <w:r>
        <w:rPr>
          <w:rFonts w:hint="eastAsia" w:ascii="Times New Roman" w:hAnsi="Times New Roman" w:eastAsia="方正仿宋_GBK"/>
          <w:sz w:val="30"/>
          <w:szCs w:val="30"/>
        </w:rPr>
        <w:t>。</w:t>
      </w:r>
    </w:p>
    <w:p>
      <w:pPr>
        <w:spacing w:line="588" w:lineRule="exact"/>
        <w:ind w:firstLine="602" w:firstLineChars="200"/>
        <w:rPr>
          <w:rFonts w:ascii="Times New Roman" w:hAnsi="Times New Roman" w:eastAsia="方正仿宋_GBK"/>
          <w:sz w:val="30"/>
          <w:szCs w:val="30"/>
        </w:rPr>
      </w:pPr>
      <w:r>
        <w:rPr>
          <w:rFonts w:ascii="Times New Roman" w:hAnsi="Times New Roman" w:eastAsia="方正仿宋_GBK"/>
          <w:b/>
          <w:sz w:val="30"/>
          <w:szCs w:val="30"/>
        </w:rPr>
        <w:t>四川。</w:t>
      </w:r>
      <w:r>
        <w:rPr>
          <w:rFonts w:ascii="Times New Roman" w:hAnsi="Times New Roman" w:eastAsia="方正仿宋_GBK"/>
          <w:sz w:val="30"/>
          <w:szCs w:val="30"/>
        </w:rPr>
        <w:t>2018年，全部可再生能源电力消纳量为2013亿千瓦时，占本省全社会用电量的比重为81.9%</w:t>
      </w:r>
      <w:r>
        <w:rPr>
          <w:rFonts w:hint="eastAsia" w:ascii="Times New Roman" w:hAnsi="Times New Roman" w:eastAsia="方正仿宋_GBK"/>
          <w:sz w:val="30"/>
          <w:szCs w:val="30"/>
        </w:rPr>
        <w:t>，同比下降1.6个百分点</w:t>
      </w:r>
      <w:r>
        <w:rPr>
          <w:rFonts w:ascii="Times New Roman" w:hAnsi="Times New Roman" w:eastAsia="方正仿宋_GBK"/>
          <w:sz w:val="30"/>
          <w:szCs w:val="30"/>
        </w:rPr>
        <w:t>；非水电可再生能源电力消纳量为108亿千瓦时，占本省全社会用电量的比重为4.4%，同比上升1.1个百分点。</w:t>
      </w:r>
    </w:p>
    <w:p>
      <w:pPr>
        <w:spacing w:line="588" w:lineRule="exact"/>
        <w:ind w:firstLine="602" w:firstLineChars="200"/>
        <w:rPr>
          <w:rFonts w:ascii="Times New Roman" w:hAnsi="Times New Roman" w:eastAsia="方正仿宋_GBK"/>
          <w:sz w:val="30"/>
          <w:szCs w:val="30"/>
        </w:rPr>
      </w:pPr>
      <w:r>
        <w:rPr>
          <w:rFonts w:ascii="Times New Roman" w:hAnsi="Times New Roman" w:eastAsia="方正仿宋_GBK"/>
          <w:b/>
          <w:sz w:val="30"/>
          <w:szCs w:val="30"/>
        </w:rPr>
        <w:t>宁夏。</w:t>
      </w:r>
      <w:r>
        <w:rPr>
          <w:rFonts w:ascii="Times New Roman" w:hAnsi="Times New Roman" w:eastAsia="方正仿宋_GBK"/>
          <w:sz w:val="30"/>
          <w:szCs w:val="30"/>
        </w:rPr>
        <w:t>2018年，全部可再生能源电力消纳量</w:t>
      </w:r>
      <w:r>
        <w:rPr>
          <w:rFonts w:hint="eastAsia" w:ascii="Times New Roman" w:hAnsi="Times New Roman" w:eastAsia="方正仿宋_GBK"/>
          <w:sz w:val="30"/>
          <w:szCs w:val="30"/>
        </w:rPr>
        <w:t>为</w:t>
      </w:r>
      <w:r>
        <w:rPr>
          <w:rFonts w:ascii="Times New Roman" w:hAnsi="Times New Roman" w:eastAsia="方正仿宋_GBK"/>
          <w:sz w:val="30"/>
          <w:szCs w:val="30"/>
        </w:rPr>
        <w:t>268亿千瓦时，占本省全社会用电量的比重为25.2%，同比上升2.2个百分点；非水电可再生能源电力消纳量为237亿千瓦时，占本省全社会用电量的比重为22.3%，同比上升1.3个百分点。光伏发电未达到最低保障收购年利用小时数要求，</w:t>
      </w:r>
      <w:r>
        <w:rPr>
          <w:rFonts w:hint="eastAsia" w:ascii="Times New Roman" w:hAnsi="Times New Roman" w:eastAsia="方正仿宋_GBK"/>
          <w:sz w:val="30"/>
          <w:szCs w:val="30"/>
        </w:rPr>
        <w:t>比要求低</w:t>
      </w:r>
      <w:r>
        <w:rPr>
          <w:rFonts w:ascii="Times New Roman" w:hAnsi="Times New Roman" w:eastAsia="方正仿宋_GBK"/>
          <w:sz w:val="30"/>
          <w:szCs w:val="30"/>
        </w:rPr>
        <w:t>124小时。</w:t>
      </w:r>
    </w:p>
    <w:p>
      <w:pPr>
        <w:spacing w:line="588" w:lineRule="exact"/>
        <w:ind w:firstLine="602" w:firstLineChars="200"/>
        <w:rPr>
          <w:rFonts w:ascii="Times New Roman" w:hAnsi="Times New Roman" w:eastAsia="方正仿宋_GBK"/>
          <w:sz w:val="30"/>
          <w:szCs w:val="30"/>
        </w:rPr>
      </w:pPr>
      <w:r>
        <w:rPr>
          <w:rFonts w:ascii="Times New Roman" w:hAnsi="Times New Roman" w:eastAsia="方正仿宋_GBK"/>
          <w:b/>
          <w:sz w:val="30"/>
          <w:szCs w:val="30"/>
        </w:rPr>
        <w:t>甘肃。</w:t>
      </w:r>
      <w:r>
        <w:rPr>
          <w:rFonts w:ascii="Times New Roman" w:hAnsi="Times New Roman" w:eastAsia="方正仿宋_GBK"/>
          <w:sz w:val="30"/>
          <w:szCs w:val="30"/>
        </w:rPr>
        <w:t>2018年，全部可再生能源电力消纳量</w:t>
      </w:r>
      <w:r>
        <w:rPr>
          <w:rFonts w:hint="eastAsia" w:ascii="Times New Roman" w:hAnsi="Times New Roman" w:eastAsia="方正仿宋_GBK"/>
          <w:sz w:val="30"/>
          <w:szCs w:val="30"/>
        </w:rPr>
        <w:t>为</w:t>
      </w:r>
      <w:r>
        <w:rPr>
          <w:rFonts w:ascii="Times New Roman" w:hAnsi="Times New Roman" w:eastAsia="方正仿宋_GBK"/>
          <w:sz w:val="30"/>
          <w:szCs w:val="30"/>
        </w:rPr>
        <w:t>625亿千瓦时，占本省全社会用电量的比重为48.4%，同比上升1.5个百分点；非水电可再生能源电力消纳量为173亿千瓦时，占本省全社会用电量的比重为13.4%，同比下降0.4个百分点。风电和光伏发电均未达到最低保障性收购年利用小时数要求，风电II类和III类资源区分别低8小时和77小时；光伏发电I类和II类资源区分别低172小时和200小时。</w:t>
      </w:r>
    </w:p>
    <w:p>
      <w:pPr>
        <w:spacing w:line="588" w:lineRule="exact"/>
        <w:ind w:firstLine="602" w:firstLineChars="200"/>
        <w:rPr>
          <w:rFonts w:ascii="Times New Roman" w:hAnsi="Times New Roman" w:eastAsia="方正仿宋_GBK"/>
          <w:sz w:val="30"/>
          <w:szCs w:val="30"/>
        </w:rPr>
      </w:pPr>
      <w:r>
        <w:rPr>
          <w:rFonts w:ascii="Times New Roman" w:hAnsi="Times New Roman" w:eastAsia="方正仿宋_GBK"/>
          <w:b/>
          <w:sz w:val="30"/>
          <w:szCs w:val="30"/>
        </w:rPr>
        <w:t>青海。</w:t>
      </w:r>
      <w:r>
        <w:rPr>
          <w:rFonts w:ascii="Times New Roman" w:hAnsi="Times New Roman" w:eastAsia="方正仿宋_GBK"/>
          <w:sz w:val="30"/>
          <w:szCs w:val="30"/>
        </w:rPr>
        <w:t>2018年，全部可再生能源电力消纳量为577亿千瓦时，占本省全社会用电量的比重为78.2%，同比上升13.3个百分点；非水电可再生能源电力消纳量为137亿千瓦时，占本省全社会用电量的比重约为18.5%，与2017年基本持平。</w:t>
      </w:r>
    </w:p>
    <w:p>
      <w:pPr>
        <w:spacing w:line="588" w:lineRule="exact"/>
        <w:ind w:firstLine="602" w:firstLineChars="200"/>
        <w:rPr>
          <w:rFonts w:ascii="Times New Roman" w:hAnsi="Times New Roman" w:eastAsia="方正仿宋_GBK"/>
          <w:b/>
          <w:sz w:val="30"/>
          <w:szCs w:val="30"/>
        </w:rPr>
      </w:pPr>
    </w:p>
    <w:p>
      <w:pPr>
        <w:spacing w:line="588"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附件：可再生能源电力发展监测指标核算方法</w:t>
      </w:r>
    </w:p>
    <w:p>
      <w:pPr>
        <w:spacing w:line="600" w:lineRule="exact"/>
        <w:ind w:firstLine="600" w:firstLineChars="200"/>
        <w:rPr>
          <w:rFonts w:ascii="Times New Roman" w:hAnsi="Times New Roman" w:eastAsia="方正仿宋_GBK"/>
          <w:sz w:val="30"/>
          <w:szCs w:val="30"/>
        </w:rPr>
        <w:sectPr>
          <w:footerReference r:id="rId7" w:type="even"/>
          <w:pgSz w:w="11906" w:h="16838"/>
          <w:pgMar w:top="1440" w:right="1797" w:bottom="1440" w:left="1797" w:header="851" w:footer="992" w:gutter="0"/>
          <w:cols w:space="425" w:num="1"/>
          <w:docGrid w:linePitch="312" w:charSpace="0"/>
        </w:sectPr>
      </w:pPr>
    </w:p>
    <w:p>
      <w:pPr>
        <w:spacing w:line="588" w:lineRule="exact"/>
        <w:rPr>
          <w:rFonts w:ascii="Times New Roman" w:hAnsi="Times New Roman" w:eastAsia="方正黑体_GBK"/>
          <w:sz w:val="30"/>
          <w:szCs w:val="30"/>
        </w:rPr>
      </w:pPr>
      <w:r>
        <w:rPr>
          <w:rFonts w:ascii="Times New Roman" w:hAnsi="Times New Roman" w:eastAsia="方正黑体_GBK"/>
          <w:sz w:val="30"/>
          <w:szCs w:val="30"/>
        </w:rPr>
        <w:t>附件</w:t>
      </w:r>
    </w:p>
    <w:p>
      <w:pPr>
        <w:jc w:val="center"/>
        <w:rPr>
          <w:rFonts w:ascii="Times New Roman" w:hAnsi="Times New Roman"/>
          <w:color w:val="FF0000"/>
        </w:rPr>
      </w:pPr>
    </w:p>
    <w:p>
      <w:pPr>
        <w:widowControl/>
        <w:jc w:val="center"/>
        <w:rPr>
          <w:rFonts w:ascii="Times New Roman" w:hAnsi="Times New Roman" w:eastAsia="方正小标宋简体"/>
          <w:kern w:val="0"/>
          <w:sz w:val="40"/>
          <w:szCs w:val="40"/>
        </w:rPr>
      </w:pPr>
      <w:r>
        <w:rPr>
          <w:rFonts w:ascii="Times New Roman" w:hAnsi="Times New Roman" w:eastAsia="方正小标宋简体"/>
          <w:kern w:val="0"/>
          <w:sz w:val="40"/>
          <w:szCs w:val="40"/>
        </w:rPr>
        <w:t>可再生能源电力发展监测指标核算方法</w:t>
      </w:r>
    </w:p>
    <w:p>
      <w:pPr>
        <w:snapToGrid w:val="0"/>
        <w:spacing w:line="588" w:lineRule="exact"/>
        <w:jc w:val="center"/>
        <w:rPr>
          <w:rFonts w:ascii="Times New Roman" w:hAnsi="Times New Roman" w:eastAsia="方正小标宋_GBK"/>
          <w:sz w:val="40"/>
          <w:szCs w:val="40"/>
        </w:rPr>
      </w:pPr>
    </w:p>
    <w:p>
      <w:pPr>
        <w:spacing w:line="588"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1、各省（区、市）内消纳可再生能源电量，包括本地区可再生能源发电量，加上区域外输入的可再生能源电量，再扣除跨区送出的可再生能源电量。</w:t>
      </w:r>
    </w:p>
    <w:p>
      <w:pPr>
        <w:spacing w:line="588" w:lineRule="exact"/>
        <w:ind w:firstLine="600" w:firstLineChars="200"/>
        <w:rPr>
          <w:rFonts w:ascii="Times New Roman" w:hAnsi="Times New Roman" w:eastAsia="华文楷体"/>
          <w:sz w:val="28"/>
          <w:szCs w:val="28"/>
        </w:rPr>
      </w:pPr>
      <w:r>
        <w:rPr>
          <w:rFonts w:ascii="Times New Roman" w:hAnsi="Times New Roman" w:eastAsia="方正仿宋_GBK"/>
          <w:sz w:val="30"/>
          <w:szCs w:val="30"/>
        </w:rPr>
        <w:t>省（区、市）内消纳可再生能源电量 = 本地区可再生能源发电量 – 跨区送出的可再生能源电量 + 跨区送入的可再生能源电量</w:t>
      </w:r>
    </w:p>
    <w:p>
      <w:pPr>
        <w:spacing w:line="588"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2、各省（区、市）可再生能源电量消纳占比，等于各省（区、市）可再生能源消纳量除以本地区全社会用电量。</w:t>
      </w:r>
    </w:p>
    <w:p>
      <w:pPr>
        <w:spacing w:line="588"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3、各省（区、市）的全社会用电量及可再生能源发电量，采用国家统计局和国家认可的电力行业信息机构发布的统计数据。</w:t>
      </w:r>
    </w:p>
    <w:p>
      <w:pPr>
        <w:spacing w:line="588"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4、跨区跨省交易的可再生能源电量，采用国家电网公司、南方电网公司及内蒙古电力公司提供的数据。</w:t>
      </w:r>
    </w:p>
    <w:p>
      <w:pPr>
        <w:spacing w:line="588"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5</w:t>
      </w:r>
      <w:r>
        <w:rPr>
          <w:rFonts w:hint="eastAsia" w:ascii="Times New Roman" w:hAnsi="Times New Roman" w:eastAsia="方正仿宋_GBK"/>
          <w:sz w:val="30"/>
          <w:szCs w:val="30"/>
        </w:rPr>
        <w:t>、可再生能源发电企业与省级电网企业签署明确的跨区跨省购售电协议的，可再生能源发电企业所发电量根据协议实际执行情况计入对应的购电省份；其他情况按以下原则处理：</w:t>
      </w:r>
    </w:p>
    <w:p>
      <w:p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（1）独立“点对网”跨区输入</w:t>
      </w:r>
    </w:p>
    <w:p>
      <w:p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非水电可再生能源电力项目直接并入区域外受端电网，全部计入受端电网区域的非水电可再生能源电力消纳量，采用并网计量点的电量数据。</w:t>
      </w:r>
    </w:p>
    <w:p>
      <w:p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（2）混合“点对网”跨区输入</w:t>
      </w:r>
    </w:p>
    <w:p>
      <w:p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采取与火电或水电等打捆以一组电源向区外输电的，受端电网接受到的非水电可再生能源电量等于总受电量乘以外送电量中非水电可再生能源比例。</w:t>
      </w:r>
    </w:p>
    <w:p>
      <w:p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外送电量中非水电可再生能源的比例=送端并网点计量的全部非水电可再生能源上网电量/送端并网点计量的全部上网电量。</w:t>
      </w:r>
    </w:p>
    <w:p>
      <w:p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（3）“网对网”跨区输入</w:t>
      </w:r>
    </w:p>
    <w:p>
      <w:pPr>
        <w:spacing w:line="588" w:lineRule="exact"/>
        <w:ind w:firstLine="600" w:firstLineChars="200"/>
        <w:rPr>
          <w:rFonts w:ascii="Times New Roman" w:hAnsi="Times New Roman" w:eastAsia="方正仿宋_GBK"/>
          <w:sz w:val="30"/>
          <w:szCs w:val="30"/>
        </w:rPr>
      </w:pPr>
      <w:r>
        <w:rPr>
          <w:rFonts w:hint="eastAsia" w:ascii="Times New Roman" w:hAnsi="Times New Roman" w:eastAsia="方正仿宋_GBK"/>
          <w:sz w:val="30"/>
          <w:szCs w:val="30"/>
        </w:rPr>
        <w:t>区域间或省间电网输送电量中的非水电可再生能源电力输送量，根据电力交易机构的结算电量确定。</w:t>
      </w:r>
    </w:p>
    <w:p>
      <w:pPr>
        <w:spacing w:line="588"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5、跨省跨区可再生能源电力交易，存在“省送省”、“省送区域”两种情况。针对“省送区域”情况，如华东、华中接受外省输入的可再生能源电量时，按该区域内各省全社会用电量占本区域电网内全社会用电量的比重，计算各省输入的可再生能源电量。即：</w:t>
      </w:r>
    </w:p>
    <w:p>
      <w:pPr>
        <w:snapToGrid w:val="0"/>
        <w:ind w:firstLine="573"/>
        <w:rPr>
          <w:rFonts w:ascii="Times New Roman" w:hAnsi="Times New Roman" w:eastAsia="方正仿宋_GBK"/>
          <w:sz w:val="30"/>
          <w:szCs w:val="30"/>
        </w:rPr>
      </w:pPr>
      <w:r>
        <w:rPr>
          <w:rFonts w:ascii="Times New Roman" w:hAnsi="Times New Roman" w:eastAsia="方正仿宋_GBK"/>
          <w:i/>
          <w:sz w:val="30"/>
          <w:szCs w:val="30"/>
        </w:rPr>
        <w:t>i</w:t>
      </w:r>
      <w:r>
        <w:rPr>
          <w:rFonts w:ascii="Times New Roman" w:hAnsi="Times New Roman" w:eastAsia="方正仿宋_GBK"/>
          <w:sz w:val="30"/>
          <w:szCs w:val="30"/>
        </w:rPr>
        <w:t>省（区、市）内输入电量=可再生能源输入电量，</w:t>
      </w:r>
      <w:r>
        <w:rPr>
          <w:rFonts w:ascii="Times New Roman" w:hAnsi="Times New Roman" w:eastAsia="方正仿宋_GBK"/>
          <w:i/>
          <w:sz w:val="30"/>
          <w:szCs w:val="30"/>
        </w:rPr>
        <w:t>n</w:t>
      </w:r>
      <w:r>
        <w:rPr>
          <w:rFonts w:ascii="Times New Roman" w:hAnsi="Times New Roman" w:eastAsia="方正仿宋_GBK"/>
          <w:sz w:val="30"/>
          <w:szCs w:val="30"/>
        </w:rPr>
        <w:t>表示区域电网内包含的各省（区、市）</w:t>
      </w:r>
    </w:p>
    <w:p>
      <w:pPr>
        <w:spacing w:line="588" w:lineRule="exact"/>
        <w:ind w:firstLine="600" w:firstLineChars="200"/>
        <w:rPr>
          <w:rFonts w:ascii="Times New Roman" w:hAnsi="Times New Roman" w:eastAsia="仿宋_GB2312" w:cs="Times New Roman"/>
          <w:sz w:val="32"/>
          <w:szCs w:val="32"/>
        </w:rPr>
      </w:pPr>
      <w:r>
        <w:rPr>
          <w:rFonts w:ascii="Times New Roman" w:hAnsi="Times New Roman" w:eastAsia="方正仿宋_GBK"/>
          <w:sz w:val="30"/>
          <w:szCs w:val="30"/>
        </w:rPr>
        <w:t>6、京津冀电网（北京、天津、冀北、河北南网）是特殊区域，接入的集中式非水电可再生能源发电项目和区外输入的非水电可再生能源电量，按统一均摊原则计入比重指标核算，各自区域内接入的分布式非水电可再生能源发电量计入各自区域的比重指标核算。</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0002AFF" w:usb1="C000247B" w:usb2="00000009" w:usb3="00000000" w:csb0="200001FF" w:csb1="00000000"/>
  </w:font>
  <w:font w:name="方正黑体_GBK">
    <w:altName w:val="黑体"/>
    <w:panose1 w:val="03000509000000000000"/>
    <w:charset w:val="86"/>
    <w:family w:val="auto"/>
    <w:pitch w:val="default"/>
    <w:sig w:usb0="00000001" w:usb1="080E0000" w:usb2="0000001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方正仿宋_GBK">
    <w:altName w:val="微软雅黑"/>
    <w:panose1 w:val="03000509000000000000"/>
    <w:charset w:val="86"/>
    <w:family w:val="auto"/>
    <w:pitch w:val="default"/>
    <w:sig w:usb0="00000001" w:usb1="080E0000" w:usb2="00000010" w:usb3="00000000" w:csb0="00040000" w:csb1="00000000"/>
  </w:font>
  <w:font w:name="方正小标宋_GBK">
    <w:altName w:val="微软雅黑"/>
    <w:panose1 w:val="03000509000000000000"/>
    <w:charset w:val="86"/>
    <w:family w:val="auto"/>
    <w:pitch w:val="default"/>
    <w:sig w:usb0="00000001" w:usb1="080E0000" w:usb2="00000010" w:usb3="00000000" w:csb0="00040000" w:csb1="00000000"/>
  </w:font>
  <w:font w:name="方正小标宋简体">
    <w:altName w:val="微软雅黑"/>
    <w:panose1 w:val="00000000000000000000"/>
    <w:charset w:val="86"/>
    <w:family w:val="auto"/>
    <w:pitch w:val="default"/>
    <w:sig w:usb0="00000000" w:usb1="080E0000" w:usb2="00000010" w:usb3="00000000" w:csb0="00040000" w:csb1="00000000"/>
  </w:font>
  <w:font w:name="华文楷体">
    <w:altName w:val="宋体"/>
    <w:panose1 w:val="02010600040101010101"/>
    <w:charset w:val="86"/>
    <w:family w:val="auto"/>
    <w:pitch w:val="default"/>
    <w:sig w:usb0="00000287" w:usb1="080F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rPr>
        <w:rFonts w:ascii="Times New Roman" w:hAnsi="Times New Roman" w:eastAsia="仿宋_GB2312"/>
        <w:szCs w:val="24"/>
      </w:rPr>
    </w:pPr>
    <w:r>
      <w:rPr>
        <w:rFonts w:ascii="Times New Roman" w:hAnsi="Times New Roman" w:eastAsia="仿宋_GB2312"/>
        <w:caps/>
        <w:sz w:val="22"/>
        <w:szCs w:val="28"/>
      </w:rPr>
      <w:t xml:space="preserve">— </w:t>
    </w:r>
    <w:r>
      <w:rPr>
        <w:rFonts w:ascii="Times New Roman" w:hAnsi="Times New Roman" w:eastAsia="仿宋_GB2312"/>
        <w:caps/>
        <w:sz w:val="22"/>
        <w:szCs w:val="28"/>
      </w:rPr>
      <w:fldChar w:fldCharType="begin"/>
    </w:r>
    <w:r>
      <w:rPr>
        <w:rFonts w:ascii="Times New Roman" w:hAnsi="Times New Roman" w:eastAsia="仿宋_GB2312"/>
        <w:caps/>
        <w:sz w:val="22"/>
        <w:szCs w:val="28"/>
      </w:rPr>
      <w:instrText xml:space="preserve">PAGE   \* MERGEFORMAT</w:instrText>
    </w:r>
    <w:r>
      <w:rPr>
        <w:rFonts w:ascii="Times New Roman" w:hAnsi="Times New Roman" w:eastAsia="仿宋_GB2312"/>
        <w:caps/>
        <w:sz w:val="22"/>
        <w:szCs w:val="28"/>
      </w:rPr>
      <w:fldChar w:fldCharType="separate"/>
    </w:r>
    <w:r>
      <w:rPr>
        <w:rFonts w:ascii="Times New Roman" w:hAnsi="Times New Roman" w:eastAsia="仿宋_GB2312"/>
        <w:caps/>
        <w:sz w:val="22"/>
        <w:szCs w:val="28"/>
        <w:lang w:val="zh-CN"/>
      </w:rPr>
      <w:t>1</w:t>
    </w:r>
    <w:r>
      <w:rPr>
        <w:rFonts w:ascii="Times New Roman" w:hAnsi="Times New Roman" w:eastAsia="仿宋_GB2312"/>
        <w:caps/>
        <w:sz w:val="22"/>
        <w:szCs w:val="28"/>
      </w:rPr>
      <w:fldChar w:fldCharType="end"/>
    </w:r>
    <w:r>
      <w:rPr>
        <w:rFonts w:ascii="Times New Roman" w:hAnsi="Times New Roman" w:eastAsia="仿宋_GB2312"/>
        <w:caps/>
        <w:sz w:val="22"/>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仿宋_GB2312" w:hAnsi="宋体" w:eastAsia="仿宋_GB2312"/>
        <w:caps/>
        <w:sz w:val="28"/>
        <w:szCs w:val="28"/>
      </w:rPr>
      <w:t>—</w:t>
    </w:r>
    <w:r>
      <w:rPr>
        <w:rFonts w:hint="eastAsia" w:ascii="方正仿宋_GBK" w:hAnsi="宋体"/>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6</w:t>
    </w:r>
    <w:r>
      <w:rPr>
        <w:rFonts w:ascii="Times New Roman" w:hAnsi="Times New Roman" w:eastAsia="仿宋_GB2312"/>
        <w:caps/>
        <w:sz w:val="28"/>
        <w:szCs w:val="28"/>
      </w:rPr>
      <w:fldChar w:fldCharType="end"/>
    </w:r>
    <w:r>
      <w:rPr>
        <w:rFonts w:hint="eastAsia" w:ascii="方正仿宋_GBK" w:hAnsi="宋体"/>
        <w:caps/>
        <w:sz w:val="28"/>
        <w:szCs w:val="28"/>
      </w:rPr>
      <w:t xml:space="preserve"> </w:t>
    </w:r>
    <w:r>
      <w:rPr>
        <w:rFonts w:ascii="仿宋_GB2312" w:hAnsi="宋体" w:eastAsia="仿宋_GB2312"/>
        <w:caps/>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pPr>
    <w:r>
      <w:rPr>
        <w:rFonts w:ascii="仿宋_GB2312" w:hAnsi="宋体" w:eastAsia="仿宋_GB2312"/>
        <w:caps/>
        <w:sz w:val="28"/>
        <w:szCs w:val="28"/>
      </w:rPr>
      <w:t>—</w:t>
    </w:r>
    <w:r>
      <w:rPr>
        <w:rFonts w:hint="eastAsia" w:ascii="方正仿宋_GBK" w:hAnsi="宋体"/>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8</w:t>
    </w:r>
    <w:r>
      <w:rPr>
        <w:rFonts w:ascii="Times New Roman" w:hAnsi="Times New Roman" w:eastAsia="仿宋_GB2312"/>
        <w:caps/>
        <w:sz w:val="28"/>
        <w:szCs w:val="28"/>
      </w:rPr>
      <w:fldChar w:fldCharType="end"/>
    </w:r>
    <w:r>
      <w:rPr>
        <w:rFonts w:hint="eastAsia" w:ascii="方正仿宋_GBK" w:hAnsi="宋体"/>
        <w:caps/>
        <w:sz w:val="28"/>
        <w:szCs w:val="28"/>
      </w:rPr>
      <w:t xml:space="preserve"> </w:t>
    </w:r>
    <w:r>
      <w:rPr>
        <w:rFonts w:ascii="仿宋_GB2312" w:hAnsi="宋体" w:eastAsia="仿宋_GB2312"/>
        <w:caps/>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仿宋_GB2312" w:hAnsi="宋体" w:eastAsia="仿宋_GB2312"/>
        <w:caps/>
        <w:sz w:val="28"/>
        <w:szCs w:val="28"/>
      </w:rPr>
      <w:t>—</w:t>
    </w:r>
    <w:r>
      <w:rPr>
        <w:rFonts w:hint="eastAsia" w:ascii="方正仿宋_GBK" w:hAnsi="宋体"/>
        <w:caps/>
        <w:sz w:val="28"/>
        <w:szCs w:val="28"/>
      </w:rPr>
      <w:t xml:space="preserve"> </w:t>
    </w:r>
    <w:r>
      <w:rPr>
        <w:rFonts w:ascii="Times New Roman" w:hAnsi="Times New Roman" w:eastAsia="仿宋_GB2312"/>
        <w:caps/>
        <w:sz w:val="28"/>
        <w:szCs w:val="28"/>
      </w:rPr>
      <w:fldChar w:fldCharType="begin"/>
    </w:r>
    <w:r>
      <w:rPr>
        <w:rFonts w:ascii="Times New Roman" w:hAnsi="Times New Roman" w:eastAsia="仿宋_GB2312"/>
        <w:caps/>
        <w:sz w:val="28"/>
        <w:szCs w:val="28"/>
      </w:rPr>
      <w:instrText xml:space="preserve">PAGE   \* MERGEFORMAT</w:instrText>
    </w:r>
    <w:r>
      <w:rPr>
        <w:rFonts w:ascii="Times New Roman" w:hAnsi="Times New Roman" w:eastAsia="仿宋_GB2312"/>
        <w:caps/>
        <w:sz w:val="28"/>
        <w:szCs w:val="28"/>
      </w:rPr>
      <w:fldChar w:fldCharType="separate"/>
    </w:r>
    <w:r>
      <w:rPr>
        <w:rFonts w:ascii="Times New Roman" w:hAnsi="Times New Roman" w:eastAsia="仿宋_GB2312"/>
        <w:caps/>
        <w:sz w:val="28"/>
        <w:szCs w:val="28"/>
        <w:lang w:val="zh-CN"/>
      </w:rPr>
      <w:t>14</w:t>
    </w:r>
    <w:r>
      <w:rPr>
        <w:rFonts w:ascii="Times New Roman" w:hAnsi="Times New Roman" w:eastAsia="仿宋_GB2312"/>
        <w:caps/>
        <w:sz w:val="28"/>
        <w:szCs w:val="28"/>
      </w:rPr>
      <w:fldChar w:fldCharType="end"/>
    </w:r>
    <w:r>
      <w:rPr>
        <w:rFonts w:hint="eastAsia" w:ascii="方正仿宋_GBK" w:hAnsi="宋体"/>
        <w:caps/>
        <w:sz w:val="28"/>
        <w:szCs w:val="28"/>
      </w:rPr>
      <w:t xml:space="preserve"> </w:t>
    </w:r>
    <w:r>
      <w:rPr>
        <w:rFonts w:ascii="仿宋_GB2312" w:hAnsi="宋体" w:eastAsia="仿宋_GB2312"/>
        <w:caps/>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15</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semiHidden="0" w:name="header"/>
    <w:lsdException w:uiPriority="99" w:semiHidden="0" w:name="footer"/>
    <w:lsdException w:uiPriority="0" w:name="index heading"/>
    <w:lsdException w:qFormat="1" w:uiPriority="35" w:name="caption"/>
    <w:lsdException w:uiPriority="99"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2"/>
    <w:qFormat/>
    <w:uiPriority w:val="9"/>
    <w:pPr>
      <w:keepNext/>
      <w:keepLines/>
      <w:snapToGrid w:val="0"/>
      <w:spacing w:line="600" w:lineRule="exact"/>
      <w:ind w:firstLine="200" w:firstLineChars="200"/>
      <w:outlineLvl w:val="0"/>
    </w:pPr>
    <w:rPr>
      <w:rFonts w:ascii="Times New Roman" w:hAnsi="Times New Roman" w:eastAsia="方正黑体_GBK" w:cs="Times New Roman"/>
      <w:bCs/>
      <w:kern w:val="44"/>
      <w:sz w:val="30"/>
      <w:szCs w:val="30"/>
    </w:rPr>
  </w:style>
  <w:style w:type="paragraph" w:styleId="3">
    <w:name w:val="heading 2"/>
    <w:basedOn w:val="1"/>
    <w:next w:val="1"/>
    <w:link w:val="23"/>
    <w:unhideWhenUsed/>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12">
    <w:name w:val="Default Paragraph Font"/>
    <w:semiHidden/>
    <w:unhideWhenUsed/>
    <w:uiPriority w:val="1"/>
  </w:style>
  <w:style w:type="paragraph" w:styleId="4">
    <w:name w:val="annotation subject"/>
    <w:basedOn w:val="5"/>
    <w:next w:val="5"/>
    <w:link w:val="25"/>
    <w:semiHidden/>
    <w:unhideWhenUsed/>
    <w:uiPriority w:val="99"/>
    <w:rPr>
      <w:b/>
      <w:bCs/>
    </w:rPr>
  </w:style>
  <w:style w:type="paragraph" w:styleId="5">
    <w:name w:val="annotation text"/>
    <w:basedOn w:val="1"/>
    <w:link w:val="24"/>
    <w:semiHidden/>
    <w:unhideWhenUsed/>
    <w:uiPriority w:val="99"/>
    <w:pPr>
      <w:jc w:val="left"/>
    </w:pPr>
    <w:rPr>
      <w:rFonts w:ascii="Calibri" w:hAnsi="Calibri" w:eastAsia="宋体" w:cs="Times New Roman"/>
    </w:rPr>
  </w:style>
  <w:style w:type="paragraph" w:styleId="6">
    <w:name w:val="Document Map"/>
    <w:basedOn w:val="1"/>
    <w:link w:val="21"/>
    <w:semiHidden/>
    <w:unhideWhenUsed/>
    <w:uiPriority w:val="99"/>
    <w:rPr>
      <w:rFonts w:ascii="宋体" w:eastAsia="宋体"/>
      <w:sz w:val="18"/>
      <w:szCs w:val="18"/>
    </w:rPr>
  </w:style>
  <w:style w:type="paragraph" w:styleId="7">
    <w:name w:val="Balloon Text"/>
    <w:basedOn w:val="1"/>
    <w:link w:val="20"/>
    <w:semiHidden/>
    <w:unhideWhenUsed/>
    <w:uiPriority w:val="99"/>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semiHidden/>
    <w:unhideWhenUsed/>
    <w:uiPriority w:val="99"/>
    <w:pPr>
      <w:ind w:left="200" w:leftChars="200" w:hanging="200" w:hangingChars="200"/>
    </w:pPr>
    <w:rPr>
      <w:rFonts w:ascii="Calibri" w:hAnsi="Calibri" w:eastAsia="宋体" w:cs="Times New Roman"/>
    </w:rPr>
  </w:style>
  <w:style w:type="paragraph" w:styleId="11">
    <w:name w:val="Title"/>
    <w:basedOn w:val="1"/>
    <w:next w:val="1"/>
    <w:link w:val="19"/>
    <w:qFormat/>
    <w:uiPriority w:val="10"/>
    <w:pPr>
      <w:jc w:val="center"/>
      <w:outlineLvl w:val="0"/>
    </w:pPr>
    <w:rPr>
      <w:rFonts w:ascii="仿宋" w:hAnsi="仿宋" w:eastAsia="仿宋" w:cs="宋体"/>
      <w:bCs/>
      <w:sz w:val="32"/>
      <w:szCs w:val="32"/>
    </w:rPr>
  </w:style>
  <w:style w:type="character" w:styleId="13">
    <w:name w:val="annotation reference"/>
    <w:semiHidden/>
    <w:unhideWhenUsed/>
    <w:uiPriority w:val="99"/>
    <w:rPr>
      <w:sz w:val="21"/>
      <w:szCs w:val="21"/>
    </w:rPr>
  </w:style>
  <w:style w:type="paragraph" w:customStyle="1" w:styleId="14">
    <w:name w:val="表样式"/>
    <w:basedOn w:val="10"/>
    <w:uiPriority w:val="0"/>
    <w:pPr>
      <w:snapToGrid w:val="0"/>
      <w:ind w:left="0" w:leftChars="0" w:firstLine="0" w:firstLineChars="0"/>
    </w:pPr>
    <w:rPr>
      <w:rFonts w:ascii="Times New Roman" w:hAnsi="Times New Roman" w:eastAsia="仿宋_GB2312"/>
      <w:sz w:val="24"/>
      <w:szCs w:val="20"/>
    </w:rPr>
  </w:style>
  <w:style w:type="paragraph" w:customStyle="1" w:styleId="15">
    <w:name w:val="List Paragraph"/>
    <w:basedOn w:val="1"/>
    <w:qFormat/>
    <w:uiPriority w:val="34"/>
    <w:pPr>
      <w:ind w:firstLine="420" w:firstLineChars="200"/>
    </w:pPr>
    <w:rPr>
      <w:rFonts w:ascii="Calibri" w:hAnsi="Calibri" w:eastAsia="宋体" w:cs="Times New Roman"/>
    </w:rPr>
  </w:style>
  <w:style w:type="paragraph" w:customStyle="1" w:styleId="16">
    <w:name w:val="表标题"/>
    <w:basedOn w:val="1"/>
    <w:link w:val="27"/>
    <w:qFormat/>
    <w:uiPriority w:val="0"/>
    <w:pPr>
      <w:widowControl/>
      <w:spacing w:before="240" w:after="120" w:line="600" w:lineRule="exact"/>
      <w:jc w:val="center"/>
    </w:pPr>
    <w:rPr>
      <w:rFonts w:ascii="Times New Roman" w:hAnsi="Times New Roman" w:eastAsia="楷体_GB2312" w:cs="Times New Roman"/>
      <w:color w:val="000000"/>
      <w:kern w:val="0"/>
      <w:sz w:val="28"/>
      <w:szCs w:val="20"/>
    </w:rPr>
  </w:style>
  <w:style w:type="character" w:customStyle="1" w:styleId="17">
    <w:name w:val="页眉 Char"/>
    <w:basedOn w:val="12"/>
    <w:link w:val="9"/>
    <w:uiPriority w:val="99"/>
    <w:rPr>
      <w:sz w:val="18"/>
      <w:szCs w:val="18"/>
    </w:rPr>
  </w:style>
  <w:style w:type="character" w:customStyle="1" w:styleId="18">
    <w:name w:val="页脚 Char"/>
    <w:basedOn w:val="12"/>
    <w:link w:val="8"/>
    <w:uiPriority w:val="99"/>
    <w:rPr>
      <w:sz w:val="18"/>
      <w:szCs w:val="18"/>
    </w:rPr>
  </w:style>
  <w:style w:type="character" w:customStyle="1" w:styleId="19">
    <w:name w:val="标题 Char"/>
    <w:basedOn w:val="12"/>
    <w:link w:val="11"/>
    <w:uiPriority w:val="10"/>
    <w:rPr>
      <w:rFonts w:ascii="仿宋" w:hAnsi="仿宋" w:eastAsia="仿宋" w:cs="宋体"/>
      <w:bCs/>
      <w:sz w:val="32"/>
      <w:szCs w:val="32"/>
    </w:rPr>
  </w:style>
  <w:style w:type="character" w:customStyle="1" w:styleId="20">
    <w:name w:val="批注框文本 Char"/>
    <w:basedOn w:val="12"/>
    <w:link w:val="7"/>
    <w:semiHidden/>
    <w:uiPriority w:val="99"/>
    <w:rPr>
      <w:sz w:val="18"/>
      <w:szCs w:val="18"/>
    </w:rPr>
  </w:style>
  <w:style w:type="character" w:customStyle="1" w:styleId="21">
    <w:name w:val="文档结构图 Char"/>
    <w:basedOn w:val="12"/>
    <w:link w:val="6"/>
    <w:semiHidden/>
    <w:uiPriority w:val="99"/>
    <w:rPr>
      <w:rFonts w:ascii="宋体" w:eastAsia="宋体"/>
      <w:sz w:val="18"/>
      <w:szCs w:val="18"/>
    </w:rPr>
  </w:style>
  <w:style w:type="character" w:customStyle="1" w:styleId="22">
    <w:name w:val="标题 1 Char"/>
    <w:basedOn w:val="12"/>
    <w:link w:val="2"/>
    <w:uiPriority w:val="9"/>
    <w:rPr>
      <w:rFonts w:ascii="Times New Roman" w:hAnsi="Times New Roman" w:eastAsia="方正黑体_GBK" w:cs="Times New Roman"/>
      <w:bCs/>
      <w:kern w:val="44"/>
      <w:sz w:val="30"/>
      <w:szCs w:val="30"/>
    </w:rPr>
  </w:style>
  <w:style w:type="character" w:customStyle="1" w:styleId="23">
    <w:name w:val="标题 2 Char"/>
    <w:basedOn w:val="12"/>
    <w:link w:val="3"/>
    <w:uiPriority w:val="9"/>
    <w:rPr>
      <w:rFonts w:ascii="Cambria" w:hAnsi="Cambria" w:eastAsia="宋体" w:cs="Times New Roman"/>
      <w:b/>
      <w:bCs/>
      <w:kern w:val="0"/>
      <w:sz w:val="32"/>
      <w:szCs w:val="32"/>
    </w:rPr>
  </w:style>
  <w:style w:type="character" w:customStyle="1" w:styleId="24">
    <w:name w:val="批注文字 Char"/>
    <w:basedOn w:val="12"/>
    <w:link w:val="5"/>
    <w:semiHidden/>
    <w:uiPriority w:val="99"/>
    <w:rPr>
      <w:rFonts w:ascii="Calibri" w:hAnsi="Calibri" w:eastAsia="宋体" w:cs="Times New Roman"/>
    </w:rPr>
  </w:style>
  <w:style w:type="character" w:customStyle="1" w:styleId="25">
    <w:name w:val="批注主题 Char"/>
    <w:basedOn w:val="24"/>
    <w:link w:val="4"/>
    <w:semiHidden/>
    <w:uiPriority w:val="99"/>
    <w:rPr>
      <w:b/>
      <w:bCs/>
    </w:rPr>
  </w:style>
  <w:style w:type="character" w:customStyle="1" w:styleId="26">
    <w:name w:val="页脚 字符"/>
    <w:uiPriority w:val="99"/>
  </w:style>
  <w:style w:type="character" w:customStyle="1" w:styleId="27">
    <w:name w:val="表标题 Char"/>
    <w:link w:val="16"/>
    <w:uiPriority w:val="0"/>
    <w:rPr>
      <w:rFonts w:ascii="Times New Roman" w:hAnsi="Times New Roman" w:eastAsia="楷体_GB2312" w:cs="Times New Roman"/>
      <w:color w:val="000000"/>
      <w:kern w:val="0"/>
      <w:sz w:val="28"/>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国家能源局</Company>
  <Pages>15</Pages>
  <Words>1267</Words>
  <Characters>7222</Characters>
  <Lines>60</Lines>
  <Paragraphs>16</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2019-05-27T08:43:00Z</dcterms:created>
  <dc:creator>苏辛一</dc:creator>
  <cp:lastModifiedBy>editor</cp:lastModifiedBy>
  <cp:lastPrinted>2019-05-27T07:35:00Z</cp:lastPrinted>
  <dcterms:modified xsi:type="dcterms:W3CDTF">2019-06-10T07:02:32Z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