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rPr>
          <w:rFonts w:hint="eastAsia" w:ascii="华光黑体_CNKI" w:hAnsi="华光黑体_CNKI" w:eastAsia="华光黑体_CNKI" w:cs="华光黑体_CNKI"/>
          <w:sz w:val="20"/>
        </w:rPr>
      </w:pPr>
    </w:p>
    <w:p>
      <w:pPr>
        <w:pStyle w:val="4"/>
        <w:spacing w:line="360" w:lineRule="auto"/>
        <w:rPr>
          <w:rFonts w:hint="eastAsia" w:ascii="华光黑体_CNKI" w:hAnsi="华光黑体_CNKI" w:eastAsia="华光黑体_CNKI" w:cs="华光黑体_CNKI"/>
          <w:sz w:val="20"/>
        </w:rPr>
      </w:pPr>
    </w:p>
    <w:p>
      <w:pPr>
        <w:spacing w:before="243" w:line="360" w:lineRule="auto"/>
        <w:ind w:left="258" w:right="454" w:firstLine="0"/>
        <w:jc w:val="center"/>
        <w:rPr>
          <w:rFonts w:hint="eastAsia" w:ascii="华光黑体_CNKI" w:hAnsi="华光黑体_CNKI" w:eastAsia="华光黑体_CNKI" w:cs="华光黑体_CNKI"/>
          <w:b w:val="0"/>
          <w:bCs w:val="0"/>
          <w:w w:val="95"/>
          <w:sz w:val="32"/>
        </w:rPr>
      </w:pPr>
      <w:r>
        <w:rPr>
          <w:rFonts w:hint="eastAsia" w:ascii="华光黑体_CNKI" w:hAnsi="华光黑体_CNKI" w:eastAsia="华光黑体_CNKI" w:cs="华光黑体_CNKI"/>
          <w:b w:val="0"/>
          <w:bCs w:val="0"/>
          <w:w w:val="95"/>
          <w:sz w:val="32"/>
        </w:rPr>
        <w:t>中国电力企业联合会标准</w:t>
      </w:r>
    </w:p>
    <w:p>
      <w:pPr>
        <w:spacing w:before="243" w:line="360" w:lineRule="auto"/>
        <w:ind w:left="258" w:right="454" w:firstLine="0"/>
        <w:jc w:val="center"/>
        <w:rPr>
          <w:rFonts w:hint="eastAsia" w:ascii="华光黑体_CNKI" w:hAnsi="华光黑体_CNKI" w:eastAsia="华光黑体_CNKI" w:cs="华光黑体_CNKI"/>
          <w:b w:val="0"/>
          <w:bCs w:val="0"/>
          <w:w w:val="95"/>
          <w:sz w:val="32"/>
        </w:rPr>
      </w:pPr>
    </w:p>
    <w:p>
      <w:pPr>
        <w:spacing w:before="243" w:line="360" w:lineRule="auto"/>
        <w:ind w:left="258" w:right="454" w:firstLine="0"/>
        <w:jc w:val="center"/>
        <w:rPr>
          <w:rFonts w:hint="eastAsia" w:ascii="华光黑体_CNKI" w:hAnsi="华光黑体_CNKI" w:eastAsia="华光黑体_CNKI" w:cs="华光黑体_CNKI"/>
          <w:b w:val="0"/>
          <w:bCs w:val="0"/>
          <w:w w:val="95"/>
          <w:sz w:val="32"/>
        </w:rPr>
      </w:pPr>
    </w:p>
    <w:p>
      <w:pPr>
        <w:spacing w:before="243" w:line="360" w:lineRule="auto"/>
        <w:ind w:left="258" w:right="454" w:firstLine="0"/>
        <w:jc w:val="center"/>
        <w:rPr>
          <w:rFonts w:hint="eastAsia" w:ascii="华光黑体_CNKI" w:hAnsi="华光黑体_CNKI" w:eastAsia="华光黑体_CNKI" w:cs="华光黑体_CNKI"/>
          <w:b w:val="0"/>
          <w:bCs w:val="0"/>
          <w:w w:val="95"/>
          <w:sz w:val="32"/>
        </w:rPr>
      </w:pPr>
      <w:r>
        <w:rPr>
          <w:rFonts w:hint="eastAsia" w:ascii="华光黑体_CNKI" w:hAnsi="华光黑体_CNKI" w:eastAsia="华光黑体_CNKI" w:cs="华光黑体_CNKI"/>
          <w:b w:val="0"/>
          <w:bCs w:val="0"/>
          <w:w w:val="95"/>
          <w:sz w:val="32"/>
        </w:rPr>
        <w:t>《塔式太阳能光热发电站</w:t>
      </w:r>
      <w:r>
        <w:rPr>
          <w:rFonts w:hint="eastAsia" w:ascii="华光黑体_CNKI" w:hAnsi="华光黑体_CNKI" w:eastAsia="华光黑体_CNKI" w:cs="华光黑体_CNKI"/>
          <w:b w:val="0"/>
          <w:bCs w:val="0"/>
          <w:w w:val="95"/>
          <w:sz w:val="32"/>
          <w:lang w:val="en-US" w:eastAsia="zh-CN"/>
        </w:rPr>
        <w:t>定日镜场检测规程</w:t>
      </w:r>
      <w:r>
        <w:rPr>
          <w:rFonts w:hint="eastAsia" w:ascii="华光黑体_CNKI" w:hAnsi="华光黑体_CNKI" w:eastAsia="华光黑体_CNKI" w:cs="华光黑体_CNKI"/>
          <w:b w:val="0"/>
          <w:bCs w:val="0"/>
          <w:w w:val="95"/>
          <w:sz w:val="32"/>
        </w:rPr>
        <w:t>》</w:t>
      </w:r>
    </w:p>
    <w:p>
      <w:pPr>
        <w:spacing w:before="243" w:line="360" w:lineRule="auto"/>
        <w:ind w:left="258" w:right="454" w:firstLine="0"/>
        <w:jc w:val="center"/>
        <w:rPr>
          <w:rFonts w:hint="eastAsia" w:ascii="华光黑体_CNKI" w:hAnsi="华光黑体_CNKI" w:eastAsia="华光黑体_CNKI" w:cs="华光黑体_CNKI"/>
          <w:b w:val="0"/>
          <w:bCs w:val="0"/>
          <w:w w:val="95"/>
          <w:sz w:val="32"/>
        </w:rPr>
      </w:pPr>
      <w:r>
        <w:rPr>
          <w:rFonts w:hint="eastAsia" w:ascii="华光黑体_CNKI" w:hAnsi="华光黑体_CNKI" w:eastAsia="华光黑体_CNKI" w:cs="华光黑体_CNKI"/>
          <w:b w:val="0"/>
          <w:bCs w:val="0"/>
          <w:w w:val="95"/>
          <w:sz w:val="32"/>
        </w:rPr>
        <w:t>（征求意见稿）</w:t>
      </w:r>
    </w:p>
    <w:p>
      <w:pPr>
        <w:pStyle w:val="4"/>
        <w:spacing w:line="360" w:lineRule="auto"/>
        <w:rPr>
          <w:rFonts w:hint="eastAsia" w:ascii="华光黑体_CNKI" w:hAnsi="华光黑体_CNKI" w:eastAsia="华光黑体_CNKI" w:cs="华光黑体_CNKI"/>
          <w:b/>
          <w:sz w:val="32"/>
        </w:rPr>
      </w:pPr>
    </w:p>
    <w:p>
      <w:pPr>
        <w:pStyle w:val="4"/>
        <w:spacing w:before="5" w:line="360" w:lineRule="auto"/>
        <w:rPr>
          <w:rFonts w:hint="eastAsia" w:ascii="华光黑体_CNKI" w:hAnsi="华光黑体_CNKI" w:eastAsia="华光黑体_CNKI" w:cs="华光黑体_CNKI"/>
          <w:b/>
          <w:sz w:val="33"/>
        </w:rPr>
      </w:pPr>
    </w:p>
    <w:p>
      <w:pPr>
        <w:spacing w:before="243" w:line="360" w:lineRule="auto"/>
        <w:ind w:left="258" w:right="454" w:firstLine="0"/>
        <w:jc w:val="center"/>
        <w:rPr>
          <w:rFonts w:hint="eastAsia" w:ascii="华光黑体_CNKI" w:hAnsi="华光黑体_CNKI" w:eastAsia="华光黑体_CNKI" w:cs="华光黑体_CNKI"/>
          <w:b w:val="0"/>
          <w:bCs w:val="0"/>
          <w:w w:val="95"/>
          <w:sz w:val="32"/>
        </w:rPr>
      </w:pPr>
      <w:r>
        <w:rPr>
          <w:rFonts w:hint="eastAsia" w:ascii="华光黑体_CNKI" w:hAnsi="华光黑体_CNKI" w:eastAsia="华光黑体_CNKI" w:cs="华光黑体_CNKI"/>
          <w:b w:val="0"/>
          <w:bCs w:val="0"/>
          <w:w w:val="95"/>
          <w:sz w:val="32"/>
        </w:rPr>
        <w:t>编</w:t>
      </w:r>
      <w:r>
        <w:rPr>
          <w:rFonts w:hint="eastAsia" w:ascii="华光黑体_CNKI" w:hAnsi="华光黑体_CNKI" w:eastAsia="华光黑体_CNKI" w:cs="华光黑体_CNKI"/>
          <w:b w:val="0"/>
          <w:bCs w:val="0"/>
          <w:w w:val="95"/>
          <w:sz w:val="32"/>
          <w:lang w:val="en-US" w:eastAsia="zh-CN"/>
        </w:rPr>
        <w:t xml:space="preserve"> </w:t>
      </w:r>
      <w:r>
        <w:rPr>
          <w:rFonts w:hint="eastAsia" w:ascii="华光黑体_CNKI" w:hAnsi="华光黑体_CNKI" w:eastAsia="华光黑体_CNKI" w:cs="华光黑体_CNKI"/>
          <w:b w:val="0"/>
          <w:bCs w:val="0"/>
          <w:w w:val="95"/>
          <w:sz w:val="32"/>
        </w:rPr>
        <w:t>制</w:t>
      </w:r>
      <w:r>
        <w:rPr>
          <w:rFonts w:hint="eastAsia" w:ascii="华光黑体_CNKI" w:hAnsi="华光黑体_CNKI" w:eastAsia="华光黑体_CNKI" w:cs="华光黑体_CNKI"/>
          <w:b w:val="0"/>
          <w:bCs w:val="0"/>
          <w:w w:val="95"/>
          <w:sz w:val="32"/>
          <w:lang w:val="en-US" w:eastAsia="zh-CN"/>
        </w:rPr>
        <w:t xml:space="preserve"> </w:t>
      </w:r>
      <w:r>
        <w:rPr>
          <w:rFonts w:hint="eastAsia" w:ascii="华光黑体_CNKI" w:hAnsi="华光黑体_CNKI" w:eastAsia="华光黑体_CNKI" w:cs="华光黑体_CNKI"/>
          <w:b w:val="0"/>
          <w:bCs w:val="0"/>
          <w:w w:val="95"/>
          <w:sz w:val="32"/>
        </w:rPr>
        <w:t>说</w:t>
      </w:r>
      <w:r>
        <w:rPr>
          <w:rFonts w:hint="eastAsia" w:ascii="华光黑体_CNKI" w:hAnsi="华光黑体_CNKI" w:eastAsia="华光黑体_CNKI" w:cs="华光黑体_CNKI"/>
          <w:b w:val="0"/>
          <w:bCs w:val="0"/>
          <w:w w:val="95"/>
          <w:sz w:val="32"/>
          <w:lang w:val="en-US" w:eastAsia="zh-CN"/>
        </w:rPr>
        <w:t xml:space="preserve"> </w:t>
      </w:r>
      <w:r>
        <w:rPr>
          <w:rFonts w:hint="eastAsia" w:ascii="华光黑体_CNKI" w:hAnsi="华光黑体_CNKI" w:eastAsia="华光黑体_CNKI" w:cs="华光黑体_CNKI"/>
          <w:b w:val="0"/>
          <w:bCs w:val="0"/>
          <w:w w:val="95"/>
          <w:sz w:val="32"/>
        </w:rPr>
        <w:t>明</w:t>
      </w:r>
    </w:p>
    <w:p>
      <w:pPr>
        <w:pStyle w:val="4"/>
        <w:spacing w:line="360" w:lineRule="auto"/>
        <w:rPr>
          <w:rFonts w:hint="eastAsia" w:ascii="华光黑体_CNKI" w:hAnsi="华光黑体_CNKI" w:eastAsia="华光黑体_CNKI" w:cs="华光黑体_CNKI"/>
          <w:b/>
          <w:sz w:val="32"/>
        </w:rPr>
      </w:pPr>
    </w:p>
    <w:p>
      <w:pPr>
        <w:pStyle w:val="4"/>
        <w:spacing w:line="360" w:lineRule="auto"/>
        <w:rPr>
          <w:rFonts w:hint="eastAsia" w:ascii="华光黑体_CNKI" w:hAnsi="华光黑体_CNKI" w:eastAsia="华光黑体_CNKI" w:cs="华光黑体_CNKI"/>
          <w:b/>
          <w:sz w:val="32"/>
        </w:rPr>
      </w:pPr>
    </w:p>
    <w:p>
      <w:pPr>
        <w:pStyle w:val="4"/>
        <w:spacing w:line="360" w:lineRule="auto"/>
        <w:rPr>
          <w:rFonts w:hint="eastAsia" w:ascii="华光黑体_CNKI" w:hAnsi="华光黑体_CNKI" w:eastAsia="华光黑体_CNKI" w:cs="华光黑体_CNKI"/>
          <w:b/>
          <w:sz w:val="32"/>
        </w:rPr>
      </w:pPr>
    </w:p>
    <w:p>
      <w:pPr>
        <w:pStyle w:val="4"/>
        <w:spacing w:line="360" w:lineRule="auto"/>
        <w:rPr>
          <w:rFonts w:hint="eastAsia" w:ascii="华光黑体_CNKI" w:hAnsi="华光黑体_CNKI" w:eastAsia="华光黑体_CNKI" w:cs="华光黑体_CNKI"/>
          <w:b/>
          <w:sz w:val="32"/>
        </w:rPr>
      </w:pPr>
    </w:p>
    <w:p>
      <w:pPr>
        <w:pStyle w:val="4"/>
        <w:spacing w:line="360" w:lineRule="auto"/>
        <w:rPr>
          <w:rFonts w:hint="eastAsia" w:ascii="华光黑体_CNKI" w:hAnsi="华光黑体_CNKI" w:eastAsia="华光黑体_CNKI" w:cs="华光黑体_CNKI"/>
          <w:b/>
          <w:sz w:val="32"/>
        </w:rPr>
      </w:pPr>
    </w:p>
    <w:p>
      <w:pPr>
        <w:pStyle w:val="4"/>
        <w:spacing w:line="360" w:lineRule="auto"/>
        <w:rPr>
          <w:rFonts w:hint="eastAsia" w:ascii="华光黑体_CNKI" w:hAnsi="华光黑体_CNKI" w:eastAsia="华光黑体_CNKI" w:cs="华光黑体_CNKI"/>
          <w:b/>
          <w:sz w:val="32"/>
        </w:rPr>
      </w:pPr>
    </w:p>
    <w:p>
      <w:pPr>
        <w:spacing w:before="243" w:line="360" w:lineRule="auto"/>
        <w:ind w:left="258" w:right="454" w:firstLine="0"/>
        <w:jc w:val="center"/>
        <w:rPr>
          <w:rFonts w:hint="eastAsia" w:ascii="华光黑体_CNKI" w:hAnsi="华光黑体_CNKI" w:eastAsia="华光黑体_CNKI" w:cs="华光黑体_CNKI"/>
          <w:b w:val="0"/>
          <w:bCs w:val="0"/>
          <w:w w:val="95"/>
          <w:sz w:val="32"/>
          <w:lang w:val="en-US" w:eastAsia="zh-CN"/>
        </w:rPr>
      </w:pPr>
      <w:r>
        <w:rPr>
          <w:rFonts w:hint="eastAsia" w:ascii="华光黑体_CNKI" w:hAnsi="华光黑体_CNKI" w:eastAsia="华光黑体_CNKI" w:cs="华光黑体_CNKI"/>
          <w:b w:val="0"/>
          <w:bCs w:val="0"/>
          <w:w w:val="95"/>
          <w:sz w:val="32"/>
          <w:lang w:val="en-US" w:eastAsia="zh-CN"/>
        </w:rPr>
        <w:t>标准编制工作组</w:t>
      </w:r>
    </w:p>
    <w:p>
      <w:pPr>
        <w:spacing w:before="243" w:line="360" w:lineRule="auto"/>
        <w:ind w:left="258" w:right="454" w:firstLine="0"/>
        <w:jc w:val="center"/>
        <w:rPr>
          <w:rFonts w:hint="default" w:ascii="Times New Roman" w:hAnsi="Times New Roman" w:eastAsia="仿宋" w:cs="Times New Roman"/>
          <w:sz w:val="28"/>
        </w:rPr>
        <w:sectPr>
          <w:headerReference r:id="rId5" w:type="default"/>
          <w:footerReference r:id="rId6" w:type="default"/>
          <w:type w:val="continuous"/>
          <w:pgSz w:w="11910" w:h="16840"/>
          <w:pgMar w:top="1440" w:right="1080" w:bottom="1440" w:left="1080" w:header="720" w:footer="720" w:gutter="0"/>
          <w:cols w:space="720" w:num="1"/>
        </w:sectPr>
      </w:pPr>
      <w:r>
        <w:rPr>
          <w:rFonts w:hint="eastAsia" w:ascii="华光黑体_CNKI" w:hAnsi="华光黑体_CNKI" w:eastAsia="华光黑体_CNKI" w:cs="华光黑体_CNKI"/>
          <w:b w:val="0"/>
          <w:bCs w:val="0"/>
          <w:w w:val="95"/>
          <w:sz w:val="32"/>
          <w:lang w:val="en-US" w:eastAsia="zh-CN"/>
        </w:rPr>
        <w:t>2022 年 1 月</w:t>
      </w:r>
    </w:p>
    <w:sdt>
      <w:sdtPr>
        <w:rPr>
          <w:rFonts w:hint="default" w:ascii="Times New Roman" w:hAnsi="Times New Roman" w:eastAsia="仿宋" w:cs="Times New Roman"/>
          <w:sz w:val="21"/>
          <w:szCs w:val="22"/>
          <w:lang w:val="zh-CN" w:eastAsia="zh-CN" w:bidi="zh-CN"/>
        </w:rPr>
        <w:id w:val="147467323"/>
        <w:showingPlcHdr/>
        <w15:color w:val="DBDBDB"/>
        <w:docPartObj>
          <w:docPartGallery w:val="Table of Contents"/>
          <w:docPartUnique/>
        </w:docPartObj>
      </w:sdtPr>
      <w:sdtEndPr>
        <w:rPr>
          <w:rFonts w:hint="default" w:ascii="Times New Roman" w:hAnsi="Times New Roman" w:eastAsia="仿宋" w:cs="Times New Roman"/>
          <w:bCs w:val="0"/>
          <w:sz w:val="22"/>
          <w:szCs w:val="22"/>
          <w:lang w:val="zh-CN" w:eastAsia="zh-CN" w:bidi="zh-CN"/>
        </w:rPr>
      </w:sdtEndPr>
      <w:sdtContent>
        <w:p>
          <w:pPr>
            <w:spacing w:line="360" w:lineRule="auto"/>
            <w:rPr>
              <w:rFonts w:hint="default" w:ascii="Times New Roman" w:hAnsi="Times New Roman" w:eastAsia="仿宋" w:cs="Times New Roman"/>
              <w:b w:val="0"/>
              <w:bCs w:val="0"/>
            </w:rPr>
          </w:pPr>
        </w:p>
      </w:sdtContent>
    </w:sdt>
    <w:p>
      <w:pPr>
        <w:spacing w:before="100" w:beforeAutospacing="1" w:after="100" w:afterAutospacing="1" w:line="360" w:lineRule="auto"/>
        <w:jc w:val="left"/>
        <w:rPr>
          <w:rFonts w:hint="default" w:ascii="Times New Roman" w:hAnsi="Times New Roman" w:eastAsia="仿宋" w:cs="Times New Roman"/>
        </w:rPr>
      </w:pPr>
      <w:r>
        <w:rPr>
          <w:rFonts w:ascii="Times New Roman" w:hAnsi="Times New Roman"/>
          <w:b/>
          <w:kern w:val="0"/>
          <w:sz w:val="24"/>
        </w:rPr>
        <w:t>一、工作简况</w:t>
      </w:r>
    </w:p>
    <w:p>
      <w:pPr>
        <w:autoSpaceDE/>
        <w:autoSpaceDN/>
        <w:spacing w:before="100" w:beforeAutospacing="1" w:after="100" w:afterAutospacing="1" w:line="360" w:lineRule="auto"/>
        <w:ind w:left="0" w:right="0"/>
        <w:jc w:val="left"/>
        <w:outlineLvl w:val="0"/>
        <w:rPr>
          <w:rFonts w:hint="default" w:ascii="Times New Roman" w:hAnsi="Times New Roman" w:cs="Times New Roman"/>
          <w:b/>
          <w:bCs/>
          <w:kern w:val="0"/>
          <w:sz w:val="24"/>
          <w:lang w:val="en-US" w:bidi="ar-SA"/>
        </w:rPr>
      </w:pPr>
      <w:bookmarkStart w:id="0" w:name="_Toc19142"/>
      <w:r>
        <w:rPr>
          <w:rFonts w:hint="eastAsia" w:ascii="Times New Roman" w:hAnsi="Times New Roman" w:cs="Times New Roman"/>
          <w:b/>
          <w:bCs/>
          <w:kern w:val="0"/>
          <w:sz w:val="24"/>
          <w:lang w:val="en-US" w:eastAsia="zh-CN" w:bidi="ar-SA"/>
        </w:rPr>
        <w:t>1、</w:t>
      </w:r>
      <w:r>
        <w:rPr>
          <w:rFonts w:hint="default" w:ascii="Times New Roman" w:hAnsi="Times New Roman" w:cs="Times New Roman"/>
          <w:b/>
          <w:bCs/>
          <w:kern w:val="0"/>
          <w:sz w:val="24"/>
          <w:lang w:val="en-US" w:bidi="ar-SA"/>
        </w:rPr>
        <w:t>任务来源</w:t>
      </w:r>
      <w:bookmarkEnd w:id="0"/>
    </w:p>
    <w:p>
      <w:pPr>
        <w:pStyle w:val="4"/>
        <w:tabs>
          <w:tab w:val="left" w:pos="6538"/>
        </w:tabs>
        <w:spacing w:before="121" w:line="360" w:lineRule="auto"/>
        <w:ind w:left="120" w:right="314" w:firstLine="420"/>
        <w:rPr>
          <w:rFonts w:hint="default" w:ascii="宋体" w:hAnsi="宋体" w:eastAsia="宋体" w:cs="Times New Roman"/>
          <w:kern w:val="2"/>
          <w:sz w:val="24"/>
          <w:szCs w:val="21"/>
          <w:lang w:val="en-US" w:eastAsia="zh-CN" w:bidi="ar-SA"/>
        </w:rPr>
      </w:pPr>
      <w:r>
        <w:rPr>
          <w:rFonts w:hint="default" w:ascii="宋体" w:hAnsi="宋体" w:eastAsia="宋体" w:cs="Times New Roman"/>
          <w:kern w:val="2"/>
          <w:sz w:val="24"/>
          <w:szCs w:val="21"/>
          <w:lang w:val="en-US" w:eastAsia="zh-CN" w:bidi="ar-SA"/>
        </w:rPr>
        <w:t>根据中电联标准〔2019〕86 号文计划编号 T/CEC 2019108</w:t>
      </w:r>
      <w:r>
        <w:rPr>
          <w:rFonts w:hint="eastAsia" w:ascii="宋体" w:hAnsi="宋体" w:eastAsia="宋体" w:cs="Times New Roman"/>
          <w:kern w:val="2"/>
          <w:sz w:val="24"/>
          <w:szCs w:val="21"/>
          <w:lang w:val="en-US" w:eastAsia="zh-CN" w:bidi="ar-SA"/>
        </w:rPr>
        <w:t>9</w:t>
      </w:r>
      <w:r>
        <w:rPr>
          <w:rFonts w:hint="default" w:ascii="宋体" w:hAnsi="宋体" w:eastAsia="宋体" w:cs="Times New Roman"/>
          <w:kern w:val="2"/>
          <w:sz w:val="24"/>
          <w:szCs w:val="21"/>
          <w:lang w:val="en-US" w:eastAsia="zh-CN" w:bidi="ar-SA"/>
        </w:rPr>
        <w:t>项目计划进行制定。</w:t>
      </w:r>
    </w:p>
    <w:p>
      <w:pPr>
        <w:autoSpaceDE/>
        <w:autoSpaceDN/>
        <w:spacing w:before="100" w:beforeAutospacing="1" w:after="100" w:afterAutospacing="1" w:line="360" w:lineRule="auto"/>
        <w:ind w:left="0" w:right="0"/>
        <w:jc w:val="left"/>
        <w:outlineLvl w:val="0"/>
        <w:rPr>
          <w:rFonts w:hint="default" w:ascii="Times New Roman" w:hAnsi="Times New Roman" w:cs="Times New Roman"/>
          <w:b/>
          <w:bCs/>
          <w:kern w:val="0"/>
          <w:sz w:val="24"/>
          <w:lang w:val="en-US" w:eastAsia="zh-CN" w:bidi="ar-SA"/>
        </w:rPr>
      </w:pPr>
      <w:r>
        <w:rPr>
          <w:rFonts w:hint="eastAsia" w:ascii="Times New Roman" w:hAnsi="Times New Roman" w:cs="Times New Roman"/>
          <w:b/>
          <w:bCs/>
          <w:kern w:val="0"/>
          <w:sz w:val="24"/>
          <w:lang w:val="en-US" w:eastAsia="zh-CN" w:bidi="ar-SA"/>
        </w:rPr>
        <w:t>2、主要起草单位</w:t>
      </w:r>
    </w:p>
    <w:p>
      <w:pPr>
        <w:adjustRightInd w:val="0"/>
        <w:snapToGrid w:val="0"/>
        <w:spacing w:line="360" w:lineRule="auto"/>
        <w:ind w:firstLine="480" w:firstLineChars="200"/>
        <w:jc w:val="both"/>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浙江可胜技术股份有限公司（原名浙江中控太阳能技术有限公司）、浙江高晟光热发电技术研究院有限公司。</w:t>
      </w:r>
    </w:p>
    <w:p>
      <w:pPr>
        <w:pStyle w:val="3"/>
        <w:numPr>
          <w:ilvl w:val="0"/>
          <w:numId w:val="0"/>
        </w:numPr>
        <w:tabs>
          <w:tab w:val="left" w:pos="477"/>
          <w:tab w:val="left" w:pos="478"/>
        </w:tabs>
        <w:spacing w:before="76" w:after="0" w:line="360" w:lineRule="auto"/>
        <w:ind w:right="0" w:rightChars="0"/>
        <w:jc w:val="left"/>
        <w:rPr>
          <w:rFonts w:hint="default" w:ascii="Times New Roman" w:hAnsi="Times New Roman" w:eastAsia="宋体" w:cs="Times New Roman"/>
          <w:b/>
          <w:bCs/>
          <w:kern w:val="0"/>
          <w:sz w:val="24"/>
          <w:szCs w:val="22"/>
          <w:lang w:val="en-US" w:eastAsia="zh-CN" w:bidi="ar-SA"/>
        </w:rPr>
      </w:pPr>
      <w:r>
        <w:rPr>
          <w:rFonts w:hint="eastAsia" w:ascii="Times New Roman" w:hAnsi="Times New Roman" w:cs="Times New Roman"/>
          <w:b/>
          <w:bCs/>
          <w:kern w:val="0"/>
          <w:sz w:val="24"/>
          <w:szCs w:val="22"/>
          <w:lang w:val="en-US" w:eastAsia="zh-CN" w:bidi="ar-SA"/>
        </w:rPr>
        <w:t>3、</w:t>
      </w:r>
      <w:r>
        <w:rPr>
          <w:rFonts w:hint="eastAsia" w:ascii="Times New Roman" w:hAnsi="Times New Roman" w:eastAsia="宋体" w:cs="Times New Roman"/>
          <w:b/>
          <w:bCs/>
          <w:kern w:val="0"/>
          <w:sz w:val="24"/>
          <w:szCs w:val="22"/>
          <w:lang w:val="en-US" w:eastAsia="zh-CN" w:bidi="ar-SA"/>
        </w:rPr>
        <w:t>主要工作过程</w:t>
      </w:r>
    </w:p>
    <w:p>
      <w:pPr>
        <w:pStyle w:val="4"/>
        <w:tabs>
          <w:tab w:val="left" w:pos="6538"/>
        </w:tabs>
        <w:spacing w:before="121" w:line="360" w:lineRule="auto"/>
        <w:ind w:left="120" w:right="314" w:firstLine="420"/>
        <w:jc w:val="both"/>
        <w:rPr>
          <w:rFonts w:hint="default" w:ascii="宋体" w:hAnsi="宋体" w:eastAsia="宋体" w:cs="Times New Roman"/>
          <w:kern w:val="2"/>
          <w:sz w:val="24"/>
          <w:szCs w:val="21"/>
          <w:lang w:val="en-US" w:eastAsia="zh-CN" w:bidi="ar-SA"/>
        </w:rPr>
      </w:pPr>
      <w:r>
        <w:rPr>
          <w:rFonts w:hint="default" w:ascii="宋体" w:hAnsi="宋体" w:eastAsia="宋体" w:cs="Times New Roman"/>
          <w:kern w:val="2"/>
          <w:sz w:val="24"/>
          <w:szCs w:val="21"/>
          <w:lang w:val="en-US" w:eastAsia="zh-CN" w:bidi="ar-SA"/>
        </w:rPr>
        <w:t>浙江</w:t>
      </w:r>
      <w:r>
        <w:rPr>
          <w:rFonts w:hint="eastAsia" w:ascii="宋体" w:hAnsi="宋体" w:eastAsia="宋体" w:cs="Times New Roman"/>
          <w:kern w:val="2"/>
          <w:sz w:val="24"/>
          <w:szCs w:val="21"/>
          <w:lang w:val="en-US" w:eastAsia="zh-CN" w:bidi="ar-SA"/>
        </w:rPr>
        <w:t>可胜股份技术有限公司（原</w:t>
      </w:r>
      <w:r>
        <w:rPr>
          <w:rFonts w:hint="default" w:ascii="宋体" w:hAnsi="宋体" w:eastAsia="宋体" w:cs="Times New Roman"/>
          <w:kern w:val="2"/>
          <w:sz w:val="24"/>
          <w:szCs w:val="21"/>
          <w:lang w:val="en-US" w:eastAsia="zh-CN" w:bidi="ar-SA"/>
        </w:rPr>
        <w:t>浙江中控太阳能技术有限公司</w:t>
      </w:r>
      <w:r>
        <w:rPr>
          <w:rFonts w:hint="eastAsia" w:ascii="宋体" w:hAnsi="宋体" w:eastAsia="宋体" w:cs="Times New Roman"/>
          <w:kern w:val="2"/>
          <w:sz w:val="24"/>
          <w:szCs w:val="21"/>
          <w:lang w:val="en-US" w:eastAsia="zh-CN" w:bidi="ar-SA"/>
        </w:rPr>
        <w:t>）</w:t>
      </w:r>
      <w:r>
        <w:rPr>
          <w:rFonts w:hint="default" w:ascii="宋体" w:hAnsi="宋体" w:eastAsia="宋体" w:cs="Times New Roman"/>
          <w:kern w:val="2"/>
          <w:sz w:val="24"/>
          <w:szCs w:val="21"/>
          <w:lang w:val="en-US" w:eastAsia="zh-CN" w:bidi="ar-SA"/>
        </w:rPr>
        <w:t>按照中电联的要求于2019年7月组建了电力企业联合会标准《塔式太阳能光热发电站定日镜场检测规程》的标准编制工作组。</w:t>
      </w:r>
    </w:p>
    <w:p>
      <w:pPr>
        <w:pStyle w:val="4"/>
        <w:tabs>
          <w:tab w:val="left" w:pos="6538"/>
        </w:tabs>
        <w:spacing w:before="121" w:line="360" w:lineRule="auto"/>
        <w:ind w:left="120" w:right="314" w:firstLine="420"/>
        <w:jc w:val="both"/>
        <w:rPr>
          <w:rFonts w:hint="default" w:ascii="宋体" w:hAnsi="宋体" w:eastAsia="宋体" w:cs="Times New Roman"/>
          <w:kern w:val="2"/>
          <w:sz w:val="24"/>
          <w:szCs w:val="21"/>
          <w:lang w:val="en-US" w:eastAsia="zh-CN" w:bidi="ar-SA"/>
        </w:rPr>
      </w:pPr>
      <w:r>
        <w:rPr>
          <w:rFonts w:hint="default" w:ascii="宋体" w:hAnsi="宋体" w:eastAsia="宋体" w:cs="Times New Roman"/>
          <w:kern w:val="2"/>
          <w:sz w:val="24"/>
          <w:szCs w:val="21"/>
          <w:lang w:val="en-US" w:eastAsia="zh-CN" w:bidi="ar-SA"/>
        </w:rPr>
        <w:t>2019年</w:t>
      </w:r>
      <w:r>
        <w:rPr>
          <w:rFonts w:hint="eastAsia" w:ascii="宋体" w:hAnsi="宋体" w:eastAsia="宋体" w:cs="Times New Roman"/>
          <w:kern w:val="2"/>
          <w:sz w:val="24"/>
          <w:szCs w:val="21"/>
          <w:lang w:val="en-US" w:eastAsia="zh-CN" w:bidi="ar-SA"/>
        </w:rPr>
        <w:t>10</w:t>
      </w:r>
      <w:r>
        <w:rPr>
          <w:rFonts w:hint="default" w:ascii="宋体" w:hAnsi="宋体" w:eastAsia="宋体" w:cs="Times New Roman"/>
          <w:kern w:val="2"/>
          <w:sz w:val="24"/>
          <w:szCs w:val="21"/>
          <w:lang w:val="en-US" w:eastAsia="zh-CN" w:bidi="ar-SA"/>
        </w:rPr>
        <w:t>月</w:t>
      </w:r>
      <w:r>
        <w:rPr>
          <w:rFonts w:hint="eastAsia" w:ascii="宋体" w:hAnsi="宋体" w:eastAsia="宋体" w:cs="Times New Roman"/>
          <w:kern w:val="2"/>
          <w:sz w:val="24"/>
          <w:szCs w:val="21"/>
          <w:lang w:val="en-US" w:eastAsia="zh-CN" w:bidi="ar-SA"/>
        </w:rPr>
        <w:t>13</w:t>
      </w:r>
      <w:r>
        <w:rPr>
          <w:rFonts w:hint="default" w:ascii="宋体" w:hAnsi="宋体" w:eastAsia="宋体" w:cs="Times New Roman"/>
          <w:kern w:val="2"/>
          <w:sz w:val="24"/>
          <w:szCs w:val="21"/>
          <w:lang w:val="en-US" w:eastAsia="zh-CN" w:bidi="ar-SA"/>
        </w:rPr>
        <w:t>日，由标准编制工作组组织召开了标准制定启动会暨第一次工作组会议。会议讨论并明确了《塔式太阳能光热发电站定日镜场检测规程》的编制原则和技术方案，讨论了标准制定的初稿，确定了标准内容及编写分工，落实了标准的进度安排。</w:t>
      </w:r>
    </w:p>
    <w:p>
      <w:pPr>
        <w:pStyle w:val="4"/>
        <w:tabs>
          <w:tab w:val="left" w:pos="6538"/>
        </w:tabs>
        <w:spacing w:before="121" w:line="360" w:lineRule="auto"/>
        <w:ind w:left="120" w:right="314" w:firstLine="420"/>
        <w:jc w:val="both"/>
        <w:rPr>
          <w:rFonts w:hint="default" w:ascii="宋体" w:hAnsi="宋体" w:eastAsia="宋体" w:cs="Times New Roman"/>
          <w:kern w:val="2"/>
          <w:sz w:val="24"/>
          <w:szCs w:val="21"/>
          <w:lang w:val="en-US" w:eastAsia="zh-CN" w:bidi="ar-SA"/>
        </w:rPr>
      </w:pPr>
      <w:r>
        <w:rPr>
          <w:rFonts w:hint="default" w:ascii="宋体" w:hAnsi="宋体" w:eastAsia="宋体" w:cs="Times New Roman"/>
          <w:kern w:val="2"/>
          <w:sz w:val="24"/>
          <w:szCs w:val="21"/>
          <w:lang w:val="en-US" w:eastAsia="zh-CN" w:bidi="ar-SA"/>
        </w:rPr>
        <w:t>2020年</w:t>
      </w:r>
      <w:r>
        <w:rPr>
          <w:rFonts w:hint="eastAsia" w:ascii="宋体" w:hAnsi="宋体" w:eastAsia="宋体" w:cs="Times New Roman"/>
          <w:kern w:val="2"/>
          <w:sz w:val="24"/>
          <w:szCs w:val="21"/>
          <w:lang w:val="en-US" w:eastAsia="zh-CN" w:bidi="ar-SA"/>
        </w:rPr>
        <w:t>4</w:t>
      </w:r>
      <w:r>
        <w:rPr>
          <w:rFonts w:hint="default" w:ascii="宋体" w:hAnsi="宋体" w:eastAsia="宋体" w:cs="Times New Roman"/>
          <w:kern w:val="2"/>
          <w:sz w:val="24"/>
          <w:szCs w:val="21"/>
          <w:lang w:val="en-US" w:eastAsia="zh-CN" w:bidi="ar-SA"/>
        </w:rPr>
        <w:t>月</w:t>
      </w:r>
      <w:r>
        <w:rPr>
          <w:rFonts w:hint="eastAsia" w:ascii="宋体" w:hAnsi="宋体" w:eastAsia="宋体" w:cs="Times New Roman"/>
          <w:kern w:val="2"/>
          <w:sz w:val="24"/>
          <w:szCs w:val="21"/>
          <w:lang w:val="en-US" w:eastAsia="zh-CN" w:bidi="ar-SA"/>
        </w:rPr>
        <w:t>15</w:t>
      </w:r>
      <w:r>
        <w:rPr>
          <w:rFonts w:hint="default" w:ascii="宋体" w:hAnsi="宋体" w:eastAsia="宋体" w:cs="Times New Roman"/>
          <w:kern w:val="2"/>
          <w:sz w:val="24"/>
          <w:szCs w:val="21"/>
          <w:lang w:val="en-US" w:eastAsia="zh-CN" w:bidi="ar-SA"/>
        </w:rPr>
        <w:t>日</w:t>
      </w:r>
      <w:r>
        <w:rPr>
          <w:rFonts w:hint="eastAsia" w:ascii="宋体" w:hAnsi="宋体" w:eastAsia="宋体" w:cs="Times New Roman"/>
          <w:kern w:val="2"/>
          <w:sz w:val="24"/>
          <w:szCs w:val="21"/>
          <w:lang w:val="en-US" w:eastAsia="zh-CN" w:bidi="ar-SA"/>
        </w:rPr>
        <w:t>，由标准编制工作组组织召开了</w:t>
      </w:r>
      <w:r>
        <w:rPr>
          <w:rFonts w:hint="default" w:ascii="宋体" w:hAnsi="宋体" w:eastAsia="宋体" w:cs="Times New Roman"/>
          <w:kern w:val="2"/>
          <w:sz w:val="24"/>
          <w:szCs w:val="21"/>
          <w:lang w:val="en-US" w:eastAsia="zh-CN" w:bidi="ar-SA"/>
        </w:rPr>
        <w:t>第二次工作组会议，</w:t>
      </w:r>
      <w:r>
        <w:rPr>
          <w:rFonts w:hint="eastAsia" w:ascii="宋体" w:hAnsi="宋体" w:eastAsia="宋体" w:cs="Times New Roman"/>
          <w:kern w:val="2"/>
          <w:sz w:val="24"/>
          <w:szCs w:val="21"/>
          <w:lang w:val="en-US" w:eastAsia="zh-CN" w:bidi="ar-SA"/>
        </w:rPr>
        <w:t>重点讨论了“定日镜设备检测”和“镜场控制系统检测”章节各项检测内容</w:t>
      </w:r>
      <w:r>
        <w:rPr>
          <w:rFonts w:hint="default" w:ascii="宋体" w:hAnsi="宋体" w:eastAsia="宋体" w:cs="Times New Roman"/>
          <w:kern w:val="2"/>
          <w:sz w:val="24"/>
          <w:szCs w:val="21"/>
          <w:lang w:val="en-US" w:eastAsia="zh-CN" w:bidi="ar-SA"/>
        </w:rPr>
        <w:t>的关键技术问题，达成了共识并提出了进一步的完善意见。</w:t>
      </w:r>
    </w:p>
    <w:p>
      <w:pPr>
        <w:pStyle w:val="4"/>
        <w:tabs>
          <w:tab w:val="left" w:pos="6538"/>
        </w:tabs>
        <w:spacing w:before="121" w:line="360" w:lineRule="auto"/>
        <w:ind w:left="120" w:right="314" w:firstLine="420"/>
        <w:jc w:val="both"/>
        <w:rPr>
          <w:rFonts w:hint="default" w:ascii="宋体" w:hAnsi="宋体" w:eastAsia="宋体" w:cs="Times New Roman"/>
          <w:kern w:val="2"/>
          <w:sz w:val="24"/>
          <w:szCs w:val="21"/>
          <w:lang w:val="en-US" w:eastAsia="zh-CN" w:bidi="ar-SA"/>
        </w:rPr>
      </w:pPr>
      <w:r>
        <w:rPr>
          <w:rFonts w:hint="default" w:ascii="宋体" w:hAnsi="宋体" w:eastAsia="宋体" w:cs="Times New Roman"/>
          <w:kern w:val="2"/>
          <w:sz w:val="24"/>
          <w:szCs w:val="21"/>
          <w:lang w:val="en-US" w:eastAsia="zh-CN" w:bidi="ar-SA"/>
        </w:rPr>
        <w:t>202</w:t>
      </w:r>
      <w:r>
        <w:rPr>
          <w:rFonts w:hint="eastAsia" w:ascii="宋体" w:hAnsi="宋体" w:eastAsia="宋体" w:cs="Times New Roman"/>
          <w:kern w:val="2"/>
          <w:sz w:val="24"/>
          <w:szCs w:val="21"/>
          <w:lang w:val="en-US" w:eastAsia="zh-CN" w:bidi="ar-SA"/>
        </w:rPr>
        <w:t>1</w:t>
      </w:r>
      <w:r>
        <w:rPr>
          <w:rFonts w:hint="default" w:ascii="宋体" w:hAnsi="宋体" w:eastAsia="宋体" w:cs="Times New Roman"/>
          <w:kern w:val="2"/>
          <w:sz w:val="24"/>
          <w:szCs w:val="21"/>
          <w:lang w:val="en-US" w:eastAsia="zh-CN" w:bidi="ar-SA"/>
        </w:rPr>
        <w:t>年</w:t>
      </w:r>
      <w:r>
        <w:rPr>
          <w:rFonts w:hint="eastAsia" w:ascii="宋体" w:hAnsi="宋体" w:eastAsia="宋体" w:cs="Times New Roman"/>
          <w:kern w:val="2"/>
          <w:sz w:val="24"/>
          <w:szCs w:val="21"/>
          <w:lang w:val="en-US" w:eastAsia="zh-CN" w:bidi="ar-SA"/>
        </w:rPr>
        <w:t>5</w:t>
      </w:r>
      <w:r>
        <w:rPr>
          <w:rFonts w:hint="default" w:ascii="宋体" w:hAnsi="宋体" w:eastAsia="宋体" w:cs="Times New Roman"/>
          <w:kern w:val="2"/>
          <w:sz w:val="24"/>
          <w:szCs w:val="21"/>
          <w:lang w:val="en-US" w:eastAsia="zh-CN" w:bidi="ar-SA"/>
        </w:rPr>
        <w:t>月</w:t>
      </w:r>
      <w:r>
        <w:rPr>
          <w:rFonts w:hint="eastAsia" w:ascii="宋体" w:hAnsi="宋体" w:eastAsia="宋体" w:cs="Times New Roman"/>
          <w:kern w:val="2"/>
          <w:sz w:val="24"/>
          <w:szCs w:val="21"/>
          <w:lang w:val="en-US" w:eastAsia="zh-CN" w:bidi="ar-SA"/>
        </w:rPr>
        <w:t>7</w:t>
      </w:r>
      <w:r>
        <w:rPr>
          <w:rFonts w:hint="default" w:ascii="宋体" w:hAnsi="宋体" w:eastAsia="宋体" w:cs="Times New Roman"/>
          <w:kern w:val="2"/>
          <w:sz w:val="24"/>
          <w:szCs w:val="21"/>
          <w:lang w:val="en-US" w:eastAsia="zh-CN" w:bidi="ar-SA"/>
        </w:rPr>
        <w:t>日</w:t>
      </w:r>
      <w:r>
        <w:rPr>
          <w:rFonts w:hint="eastAsia" w:ascii="宋体" w:hAnsi="宋体" w:eastAsia="宋体" w:cs="Times New Roman"/>
          <w:kern w:val="2"/>
          <w:sz w:val="24"/>
          <w:szCs w:val="21"/>
          <w:lang w:val="en-US" w:eastAsia="zh-CN" w:bidi="ar-SA"/>
        </w:rPr>
        <w:t>，由标准编制工作组组织召开了</w:t>
      </w:r>
      <w:r>
        <w:rPr>
          <w:rFonts w:hint="default" w:ascii="宋体" w:hAnsi="宋体" w:eastAsia="宋体" w:cs="Times New Roman"/>
          <w:kern w:val="2"/>
          <w:sz w:val="24"/>
          <w:szCs w:val="21"/>
          <w:lang w:val="en-US" w:eastAsia="zh-CN" w:bidi="ar-SA"/>
        </w:rPr>
        <w:t>第</w:t>
      </w:r>
      <w:r>
        <w:rPr>
          <w:rFonts w:hint="eastAsia" w:ascii="宋体" w:hAnsi="宋体" w:eastAsia="宋体" w:cs="Times New Roman"/>
          <w:kern w:val="2"/>
          <w:sz w:val="24"/>
          <w:szCs w:val="21"/>
          <w:lang w:val="en-US" w:eastAsia="zh-CN" w:bidi="ar-SA"/>
        </w:rPr>
        <w:t>三</w:t>
      </w:r>
      <w:r>
        <w:rPr>
          <w:rFonts w:hint="default" w:ascii="宋体" w:hAnsi="宋体" w:eastAsia="宋体" w:cs="Times New Roman"/>
          <w:kern w:val="2"/>
          <w:sz w:val="24"/>
          <w:szCs w:val="21"/>
          <w:lang w:val="en-US" w:eastAsia="zh-CN" w:bidi="ar-SA"/>
        </w:rPr>
        <w:t>次工作组会议，</w:t>
      </w:r>
      <w:r>
        <w:rPr>
          <w:rFonts w:hint="eastAsia" w:ascii="宋体" w:hAnsi="宋体" w:eastAsia="宋体" w:cs="Times New Roman"/>
          <w:kern w:val="2"/>
          <w:sz w:val="24"/>
          <w:szCs w:val="21"/>
          <w:lang w:val="en-US" w:eastAsia="zh-CN" w:bidi="ar-SA"/>
        </w:rPr>
        <w:t>主要根据协调性原则，参考相关文献，对术语部分修改</w:t>
      </w:r>
      <w:r>
        <w:rPr>
          <w:rFonts w:hint="default" w:ascii="宋体" w:hAnsi="宋体" w:eastAsia="宋体" w:cs="Times New Roman"/>
          <w:kern w:val="2"/>
          <w:sz w:val="24"/>
          <w:szCs w:val="21"/>
          <w:lang w:val="en-US" w:eastAsia="zh-CN" w:bidi="ar-SA"/>
        </w:rPr>
        <w:t>，</w:t>
      </w:r>
      <w:r>
        <w:rPr>
          <w:rFonts w:hint="eastAsia" w:ascii="宋体" w:hAnsi="宋体" w:eastAsia="宋体" w:cs="Times New Roman"/>
          <w:kern w:val="2"/>
          <w:sz w:val="24"/>
          <w:szCs w:val="21"/>
          <w:lang w:val="en-US" w:eastAsia="zh-CN" w:bidi="ar-SA"/>
        </w:rPr>
        <w:t>对章节进行了优化</w:t>
      </w:r>
      <w:r>
        <w:rPr>
          <w:rFonts w:hint="default" w:ascii="宋体" w:hAnsi="宋体" w:eastAsia="宋体" w:cs="Times New Roman"/>
          <w:kern w:val="2"/>
          <w:sz w:val="24"/>
          <w:szCs w:val="21"/>
          <w:lang w:val="en-US" w:eastAsia="zh-CN" w:bidi="ar-SA"/>
        </w:rPr>
        <w:t>。</w:t>
      </w:r>
    </w:p>
    <w:p>
      <w:pPr>
        <w:pStyle w:val="4"/>
        <w:tabs>
          <w:tab w:val="left" w:pos="6538"/>
        </w:tabs>
        <w:spacing w:before="121" w:line="360" w:lineRule="auto"/>
        <w:ind w:left="120" w:right="314" w:firstLine="420"/>
        <w:jc w:val="both"/>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2021年12月10日，标准编制工作组组织召开了第四次工作组会议，根据正在编制的国家标准《塔式太阳能光热发电站集热系统技术要求》、《塔式太阳能光热发电站定日镜技术要求》调整的技术要求内容进行</w:t>
      </w:r>
      <w:r>
        <w:rPr>
          <w:rFonts w:hint="eastAsia" w:cs="Times New Roman"/>
          <w:kern w:val="2"/>
          <w:sz w:val="24"/>
          <w:szCs w:val="21"/>
          <w:lang w:val="en-US" w:eastAsia="zh-CN" w:bidi="ar-SA"/>
        </w:rPr>
        <w:t>相应</w:t>
      </w:r>
      <w:r>
        <w:rPr>
          <w:rFonts w:hint="eastAsia" w:ascii="宋体" w:hAnsi="宋体" w:eastAsia="宋体" w:cs="Times New Roman"/>
          <w:kern w:val="2"/>
          <w:sz w:val="24"/>
          <w:szCs w:val="21"/>
          <w:lang w:val="en-US" w:eastAsia="zh-CN" w:bidi="ar-SA"/>
        </w:rPr>
        <w:t>调整。</w:t>
      </w:r>
    </w:p>
    <w:p>
      <w:pPr>
        <w:numPr>
          <w:ilvl w:val="0"/>
          <w:numId w:val="1"/>
        </w:numPr>
        <w:spacing w:before="100" w:beforeAutospacing="1" w:after="100" w:afterAutospacing="1" w:line="360" w:lineRule="auto"/>
        <w:jc w:val="left"/>
        <w:rPr>
          <w:rFonts w:hint="eastAsia" w:ascii="Times New Roman" w:hAnsi="Times New Roman"/>
          <w:b/>
          <w:kern w:val="0"/>
          <w:sz w:val="24"/>
          <w:lang w:val="en-US" w:eastAsia="zh-CN"/>
        </w:rPr>
      </w:pPr>
      <w:r>
        <w:rPr>
          <w:rFonts w:hint="eastAsia" w:ascii="Times New Roman" w:hAnsi="Times New Roman"/>
          <w:b/>
          <w:kern w:val="0"/>
          <w:sz w:val="24"/>
          <w:lang w:val="en-US" w:eastAsia="zh-CN"/>
        </w:rPr>
        <w:t>标准编制原则和主要内容</w:t>
      </w:r>
    </w:p>
    <w:p>
      <w:pPr>
        <w:numPr>
          <w:ilvl w:val="0"/>
          <w:numId w:val="2"/>
        </w:numPr>
        <w:spacing w:before="100" w:beforeAutospacing="1" w:after="100" w:afterAutospacing="1" w:line="360" w:lineRule="auto"/>
        <w:jc w:val="left"/>
        <w:outlineLvl w:val="0"/>
        <w:rPr>
          <w:rFonts w:ascii="Times New Roman" w:hAnsi="Times New Roman"/>
          <w:b/>
          <w:bCs/>
          <w:kern w:val="0"/>
          <w:sz w:val="24"/>
          <w:szCs w:val="24"/>
        </w:rPr>
      </w:pPr>
      <w:r>
        <w:rPr>
          <w:rFonts w:ascii="Times New Roman" w:hAnsi="Times New Roman"/>
          <w:b/>
          <w:bCs/>
          <w:kern w:val="0"/>
          <w:sz w:val="24"/>
          <w:szCs w:val="24"/>
        </w:rPr>
        <w:t>编制原则</w:t>
      </w:r>
      <w:bookmarkStart w:id="1" w:name="_Toc8907"/>
    </w:p>
    <w:p>
      <w:pPr>
        <w:pStyle w:val="4"/>
        <w:tabs>
          <w:tab w:val="left" w:pos="6538"/>
        </w:tabs>
        <w:spacing w:before="121" w:line="360" w:lineRule="auto"/>
        <w:ind w:left="120" w:right="314" w:firstLine="420"/>
        <w:jc w:val="both"/>
        <w:rPr>
          <w:rFonts w:hint="default" w:ascii="宋体" w:hAnsi="宋体" w:eastAsia="宋体" w:cs="Times New Roman"/>
          <w:kern w:val="2"/>
          <w:sz w:val="24"/>
          <w:szCs w:val="21"/>
          <w:lang w:val="en-US" w:eastAsia="zh-CN" w:bidi="ar-SA"/>
        </w:rPr>
      </w:pPr>
      <w:r>
        <w:rPr>
          <w:rFonts w:hint="default" w:ascii="宋体" w:hAnsi="宋体" w:eastAsia="宋体" w:cs="Times New Roman"/>
          <w:kern w:val="2"/>
          <w:sz w:val="24"/>
          <w:szCs w:val="21"/>
          <w:lang w:val="en-US" w:eastAsia="zh-CN" w:bidi="ar-SA"/>
        </w:rPr>
        <w:t>1）本标准制定的编写格式按GB/T 1.1—2020 《标准化工作导则 第1部分：标准的结构和编写》；</w:t>
      </w:r>
    </w:p>
    <w:p>
      <w:pPr>
        <w:pStyle w:val="4"/>
        <w:tabs>
          <w:tab w:val="left" w:pos="6538"/>
        </w:tabs>
        <w:spacing w:before="121" w:line="360" w:lineRule="auto"/>
        <w:ind w:left="120" w:right="314" w:firstLine="420"/>
        <w:jc w:val="both"/>
        <w:rPr>
          <w:rFonts w:hint="default" w:ascii="华光黑体_CNKI" w:hAnsi="华光黑体_CNKI" w:eastAsia="华光黑体_CNKI" w:cs="华光黑体_CNKI"/>
          <w:b w:val="0"/>
          <w:bCs w:val="0"/>
        </w:rPr>
      </w:pPr>
      <w:r>
        <w:rPr>
          <w:rFonts w:hint="default" w:ascii="宋体" w:hAnsi="宋体" w:eastAsia="宋体" w:cs="Times New Roman"/>
          <w:kern w:val="2"/>
          <w:sz w:val="24"/>
          <w:szCs w:val="21"/>
          <w:lang w:val="en-US" w:eastAsia="zh-CN" w:bidi="ar-SA"/>
        </w:rPr>
        <w:t>2）本标准在主要技术内容上与现行有效的国家（行业）标准的规定协调一致，并结合国内实际生产和使用的情况而制定。</w:t>
      </w:r>
    </w:p>
    <w:bookmarkEnd w:id="1"/>
    <w:p>
      <w:pPr>
        <w:numPr>
          <w:ilvl w:val="0"/>
          <w:numId w:val="2"/>
        </w:numPr>
        <w:spacing w:before="100" w:beforeAutospacing="1" w:after="100" w:afterAutospacing="1" w:line="360" w:lineRule="auto"/>
        <w:jc w:val="left"/>
        <w:outlineLvl w:val="0"/>
        <w:rPr>
          <w:rFonts w:hint="default" w:ascii="Times New Roman" w:hAnsi="Times New Roman"/>
          <w:b/>
          <w:bCs/>
          <w:kern w:val="0"/>
          <w:sz w:val="24"/>
          <w:szCs w:val="24"/>
        </w:rPr>
      </w:pPr>
      <w:r>
        <w:rPr>
          <w:rFonts w:hint="eastAsia" w:ascii="Times New Roman" w:hAnsi="Times New Roman"/>
          <w:b/>
          <w:bCs/>
          <w:kern w:val="0"/>
          <w:sz w:val="24"/>
          <w:szCs w:val="24"/>
          <w:lang w:val="en-US" w:eastAsia="zh-CN"/>
        </w:rPr>
        <w:t>标准主要内容</w:t>
      </w:r>
    </w:p>
    <w:p>
      <w:pPr>
        <w:pStyle w:val="14"/>
        <w:bidi w:val="0"/>
        <w:spacing w:line="360" w:lineRule="auto"/>
        <w:jc w:val="both"/>
        <w:rPr>
          <w:rFonts w:hint="default" w:ascii="宋体" w:hAnsi="宋体" w:eastAsia="宋体" w:cs="Times New Roman"/>
          <w:kern w:val="2"/>
          <w:sz w:val="24"/>
          <w:szCs w:val="21"/>
          <w:lang w:val="en-US" w:eastAsia="zh-CN" w:bidi="ar-SA"/>
        </w:rPr>
      </w:pPr>
      <w:r>
        <w:rPr>
          <w:rFonts w:hint="default" w:ascii="宋体" w:hAnsi="宋体" w:eastAsia="宋体" w:cs="Times New Roman"/>
          <w:kern w:val="2"/>
          <w:sz w:val="24"/>
          <w:szCs w:val="21"/>
          <w:lang w:val="en-US" w:eastAsia="zh-CN" w:bidi="ar-SA"/>
        </w:rPr>
        <w:t>本</w:t>
      </w:r>
      <w:r>
        <w:rPr>
          <w:rFonts w:hint="eastAsia" w:ascii="宋体" w:hAnsi="宋体" w:eastAsia="宋体" w:cs="Times New Roman"/>
          <w:kern w:val="2"/>
          <w:sz w:val="24"/>
          <w:szCs w:val="21"/>
          <w:lang w:val="en-US" w:eastAsia="zh-CN" w:bidi="ar-SA"/>
        </w:rPr>
        <w:t>文件</w:t>
      </w:r>
      <w:r>
        <w:rPr>
          <w:rFonts w:hint="default" w:ascii="宋体" w:hAnsi="宋体" w:eastAsia="宋体" w:cs="Times New Roman"/>
          <w:kern w:val="2"/>
          <w:sz w:val="24"/>
          <w:szCs w:val="21"/>
          <w:lang w:val="en-US" w:eastAsia="zh-CN" w:bidi="ar-SA"/>
        </w:rPr>
        <w:t>规定了塔式太阳能光热发电站</w:t>
      </w:r>
      <w:r>
        <w:rPr>
          <w:rFonts w:hint="eastAsia" w:ascii="宋体" w:hAnsi="宋体" w:eastAsia="宋体" w:cs="Times New Roman"/>
          <w:kern w:val="2"/>
          <w:sz w:val="24"/>
          <w:szCs w:val="21"/>
          <w:lang w:val="en-US" w:eastAsia="zh-CN" w:bidi="ar-SA"/>
        </w:rPr>
        <w:t>定日镜场中定日镜设备、镜场控制系统</w:t>
      </w:r>
      <w:r>
        <w:rPr>
          <w:rFonts w:hint="eastAsia" w:ascii="宋体" w:hAnsi="宋体" w:eastAsia="宋体" w:cs="Times New Roman"/>
          <w:kern w:val="2"/>
          <w:sz w:val="24"/>
          <w:szCs w:val="21"/>
          <w:lang w:val="en-US" w:eastAsia="zh-Hans" w:bidi="ar-SA"/>
        </w:rPr>
        <w:t>、</w:t>
      </w:r>
      <w:r>
        <w:rPr>
          <w:rFonts w:hint="eastAsia" w:ascii="宋体" w:hAnsi="宋体" w:eastAsia="宋体" w:cs="Times New Roman"/>
          <w:kern w:val="2"/>
          <w:sz w:val="24"/>
          <w:szCs w:val="21"/>
          <w:lang w:val="en-US" w:eastAsia="zh-CN" w:bidi="ar-SA"/>
        </w:rPr>
        <w:t>镜场辅助系统、镜场可利用性和环境适应性的</w:t>
      </w:r>
      <w:r>
        <w:rPr>
          <w:rFonts w:hint="eastAsia" w:hAnsi="宋体" w:cs="Times New Roman"/>
          <w:kern w:val="2"/>
          <w:sz w:val="24"/>
          <w:szCs w:val="21"/>
          <w:lang w:val="en-US" w:eastAsia="zh-CN" w:bidi="ar-SA"/>
        </w:rPr>
        <w:t>检测条件、检测设备和</w:t>
      </w:r>
      <w:r>
        <w:rPr>
          <w:rFonts w:hint="eastAsia" w:ascii="宋体" w:hAnsi="宋体" w:eastAsia="宋体" w:cs="Times New Roman"/>
          <w:kern w:val="2"/>
          <w:sz w:val="24"/>
          <w:szCs w:val="21"/>
          <w:lang w:val="en-US" w:eastAsia="zh-CN" w:bidi="ar-SA"/>
        </w:rPr>
        <w:t>检测方法</w:t>
      </w:r>
      <w:r>
        <w:rPr>
          <w:rFonts w:hint="default" w:ascii="宋体" w:hAnsi="宋体" w:eastAsia="宋体" w:cs="Times New Roman"/>
          <w:kern w:val="2"/>
          <w:sz w:val="24"/>
          <w:szCs w:val="21"/>
          <w:lang w:val="en-US" w:eastAsia="zh-CN" w:bidi="ar-SA"/>
        </w:rPr>
        <w:t>。</w:t>
      </w:r>
    </w:p>
    <w:p>
      <w:pPr>
        <w:pStyle w:val="4"/>
        <w:tabs>
          <w:tab w:val="left" w:pos="6538"/>
        </w:tabs>
        <w:spacing w:before="121" w:line="360" w:lineRule="auto"/>
        <w:ind w:left="120" w:right="314" w:firstLine="420"/>
        <w:jc w:val="both"/>
        <w:rPr>
          <w:rFonts w:hint="eastAsia" w:cs="Times New Roman"/>
          <w:kern w:val="2"/>
          <w:sz w:val="24"/>
          <w:szCs w:val="21"/>
          <w:lang w:val="en-US" w:eastAsia="zh-CN" w:bidi="ar-SA"/>
        </w:rPr>
      </w:pPr>
      <w:r>
        <w:rPr>
          <w:rFonts w:hint="eastAsia" w:ascii="Times New Roman" w:hAnsi="Times New Roman" w:cs="Times New Roman"/>
          <w:kern w:val="2"/>
          <w:sz w:val="24"/>
          <w:szCs w:val="24"/>
          <w:lang w:val="en-US" w:eastAsia="zh-CN" w:bidi="ar-SA"/>
        </w:rPr>
        <w:t>本标准的主要技术内容包括了：范围、规范性引用文件、术语和定义、检测条件、检</w:t>
      </w:r>
      <w:bookmarkStart w:id="2" w:name="_GoBack"/>
      <w:bookmarkEnd w:id="2"/>
      <w:r>
        <w:rPr>
          <w:rFonts w:hint="eastAsia" w:ascii="Times New Roman" w:hAnsi="Times New Roman" w:cs="Times New Roman"/>
          <w:kern w:val="2"/>
          <w:sz w:val="24"/>
          <w:szCs w:val="24"/>
          <w:lang w:val="en-US" w:eastAsia="zh-CN" w:bidi="ar-SA"/>
        </w:rPr>
        <w:t>测设备、定日镜设备检测、</w:t>
      </w:r>
      <w:r>
        <w:rPr>
          <w:rFonts w:hint="eastAsia" w:ascii="宋体" w:hAnsi="宋体" w:eastAsia="宋体" w:cs="Times New Roman"/>
          <w:kern w:val="2"/>
          <w:sz w:val="24"/>
          <w:szCs w:val="21"/>
          <w:lang w:val="en-US" w:eastAsia="zh-CN" w:bidi="ar-SA"/>
        </w:rPr>
        <w:t>镜场控制系统</w:t>
      </w:r>
      <w:r>
        <w:rPr>
          <w:rFonts w:hint="eastAsia" w:cs="Times New Roman"/>
          <w:kern w:val="2"/>
          <w:sz w:val="24"/>
          <w:szCs w:val="21"/>
          <w:lang w:val="en-US" w:eastAsia="zh-CN" w:bidi="ar-SA"/>
        </w:rPr>
        <w:t>检测</w:t>
      </w:r>
      <w:r>
        <w:rPr>
          <w:rFonts w:hint="eastAsia" w:ascii="宋体" w:hAnsi="宋体" w:eastAsia="宋体" w:cs="Times New Roman"/>
          <w:kern w:val="2"/>
          <w:sz w:val="24"/>
          <w:szCs w:val="21"/>
          <w:lang w:val="en-US" w:eastAsia="zh-Hans" w:bidi="ar-SA"/>
        </w:rPr>
        <w:t>、</w:t>
      </w:r>
      <w:r>
        <w:rPr>
          <w:rFonts w:hint="eastAsia" w:ascii="宋体" w:hAnsi="宋体" w:eastAsia="宋体" w:cs="Times New Roman"/>
          <w:kern w:val="2"/>
          <w:sz w:val="24"/>
          <w:szCs w:val="21"/>
          <w:lang w:val="en-US" w:eastAsia="zh-CN" w:bidi="ar-SA"/>
        </w:rPr>
        <w:t>镜场辅助系统</w:t>
      </w:r>
      <w:r>
        <w:rPr>
          <w:rFonts w:hint="eastAsia" w:cs="Times New Roman"/>
          <w:kern w:val="2"/>
          <w:sz w:val="24"/>
          <w:szCs w:val="21"/>
          <w:lang w:val="en-US" w:eastAsia="zh-CN" w:bidi="ar-SA"/>
        </w:rPr>
        <w:t>检测和其他。</w:t>
      </w:r>
    </w:p>
    <w:p>
      <w:pPr>
        <w:numPr>
          <w:ilvl w:val="0"/>
          <w:numId w:val="2"/>
        </w:numPr>
        <w:spacing w:before="100" w:beforeAutospacing="1" w:after="100" w:afterAutospacing="1" w:line="360" w:lineRule="auto"/>
        <w:jc w:val="left"/>
        <w:outlineLvl w:val="0"/>
        <w:rPr>
          <w:rFonts w:hint="default" w:ascii="Times New Roman" w:hAnsi="Times New Roman"/>
          <w:b/>
          <w:bCs/>
          <w:kern w:val="0"/>
          <w:sz w:val="24"/>
          <w:szCs w:val="24"/>
          <w:lang w:val="en-US" w:eastAsia="zh-CN"/>
        </w:rPr>
      </w:pPr>
      <w:r>
        <w:rPr>
          <w:rFonts w:hint="eastAsia" w:ascii="Times New Roman" w:hAnsi="Times New Roman"/>
          <w:b/>
          <w:bCs/>
          <w:kern w:val="0"/>
          <w:sz w:val="24"/>
          <w:szCs w:val="24"/>
          <w:lang w:val="en-US" w:eastAsia="zh-CN"/>
        </w:rPr>
        <w:t>解决的问题</w:t>
      </w:r>
    </w:p>
    <w:p>
      <w:pPr>
        <w:spacing w:before="100" w:beforeAutospacing="1" w:after="100" w:afterAutospacing="1" w:line="360" w:lineRule="auto"/>
        <w:ind w:firstLine="480" w:firstLineChars="200"/>
        <w:jc w:val="both"/>
        <w:rPr>
          <w:rFonts w:hint="eastAsia" w:ascii="Times New Roman"/>
          <w:sz w:val="24"/>
          <w:szCs w:val="24"/>
          <w:lang w:val="en-US" w:eastAsia="zh-CN"/>
        </w:rPr>
      </w:pPr>
      <w:r>
        <w:rPr>
          <w:rFonts w:hint="eastAsia" w:ascii="Times New Roman"/>
          <w:sz w:val="24"/>
          <w:szCs w:val="24"/>
          <w:lang w:val="en-US" w:eastAsia="zh-CN"/>
        </w:rPr>
        <w:t>光热发电是能源转型的必然需求。</w:t>
      </w:r>
    </w:p>
    <w:p>
      <w:pPr>
        <w:spacing w:before="100" w:beforeAutospacing="1" w:after="100" w:afterAutospacing="1" w:line="360" w:lineRule="auto"/>
        <w:ind w:firstLine="480" w:firstLineChars="200"/>
        <w:jc w:val="both"/>
        <w:rPr>
          <w:rFonts w:hint="eastAsia" w:ascii="Times New Roman"/>
          <w:sz w:val="24"/>
          <w:szCs w:val="24"/>
          <w:lang w:val="en-US" w:eastAsia="zh-CN"/>
        </w:rPr>
      </w:pPr>
      <w:r>
        <w:rPr>
          <w:rFonts w:hint="eastAsia" w:ascii="Times New Roman"/>
          <w:sz w:val="24"/>
          <w:szCs w:val="24"/>
          <w:lang w:val="en-US" w:eastAsia="zh-CN"/>
        </w:rPr>
        <w:t>塔式太阳能光热发电是一种集中式的太阳能光热发电系统，它通过定日镜（太阳能反射镜）来集中太阳光，并将其汇集到中间部位的吸热塔的接收器上，系统可通过能量转换过程将接收器汇聚的太阳能转换为热能，并将热能传递给热交换器中的工作流体，来达到热力的循环，最后带动热机开始发电和工作。</w:t>
      </w:r>
    </w:p>
    <w:p>
      <w:pPr>
        <w:autoSpaceDE/>
        <w:autoSpaceDN/>
        <w:spacing w:before="100" w:beforeAutospacing="1" w:after="100" w:afterAutospacing="1" w:line="360" w:lineRule="auto"/>
        <w:ind w:left="0" w:right="0" w:firstLine="480" w:firstLineChars="200"/>
        <w:jc w:val="both"/>
        <w:rPr>
          <w:rFonts w:hint="default" w:ascii="Times New Roman" w:hAnsi="Calibri" w:cs="Times New Roman"/>
          <w:kern w:val="2"/>
          <w:sz w:val="24"/>
          <w:szCs w:val="24"/>
          <w:lang w:val="en-US" w:eastAsia="zh-CN" w:bidi="ar-SA"/>
        </w:rPr>
      </w:pPr>
      <w:r>
        <w:rPr>
          <w:rFonts w:hint="default" w:ascii="Times New Roman" w:hAnsi="Calibri" w:cs="Times New Roman"/>
          <w:kern w:val="2"/>
          <w:sz w:val="24"/>
          <w:szCs w:val="24"/>
          <w:lang w:val="en-US" w:eastAsia="zh-CN" w:bidi="ar-SA"/>
        </w:rPr>
        <w:t>塔式太阳能光热发电站</w:t>
      </w:r>
      <w:r>
        <w:rPr>
          <w:rFonts w:hint="eastAsia" w:ascii="Times New Roman" w:hAnsi="Calibri" w:cs="Times New Roman"/>
          <w:kern w:val="2"/>
          <w:sz w:val="24"/>
          <w:szCs w:val="24"/>
          <w:lang w:val="en-US" w:eastAsia="zh-CN" w:bidi="ar-SA"/>
        </w:rPr>
        <w:t>定日镜场</w:t>
      </w:r>
      <w:r>
        <w:rPr>
          <w:rFonts w:hint="default" w:ascii="Times New Roman" w:hAnsi="Calibri" w:cs="Times New Roman"/>
          <w:kern w:val="2"/>
          <w:sz w:val="24"/>
          <w:szCs w:val="24"/>
          <w:lang w:val="en-US" w:eastAsia="zh-CN" w:bidi="ar-SA"/>
        </w:rPr>
        <w:t>作为塔式光热电站的核心组成部分，包括定日镜场</w:t>
      </w:r>
      <w:r>
        <w:rPr>
          <w:rFonts w:hint="eastAsia" w:ascii="Times New Roman" w:hAnsi="Calibri" w:cs="Times New Roman"/>
          <w:kern w:val="2"/>
          <w:sz w:val="24"/>
          <w:szCs w:val="24"/>
          <w:lang w:val="en-US" w:eastAsia="zh-CN" w:bidi="ar-SA"/>
        </w:rPr>
        <w:t>设备、定日镜场</w:t>
      </w:r>
      <w:r>
        <w:rPr>
          <w:rFonts w:hint="default" w:ascii="Times New Roman" w:hAnsi="Calibri" w:cs="Times New Roman"/>
          <w:kern w:val="2"/>
          <w:sz w:val="24"/>
          <w:szCs w:val="24"/>
          <w:lang w:val="en-US" w:eastAsia="zh-CN" w:bidi="ar-SA"/>
        </w:rPr>
        <w:t>控制系统和</w:t>
      </w:r>
      <w:r>
        <w:rPr>
          <w:rFonts w:hint="eastAsia" w:ascii="Times New Roman" w:hAnsi="Calibri" w:cs="Times New Roman"/>
          <w:kern w:val="2"/>
          <w:sz w:val="24"/>
          <w:szCs w:val="24"/>
          <w:lang w:val="en-US" w:eastAsia="zh-CN" w:bidi="ar-SA"/>
        </w:rPr>
        <w:t>定日镜场辅助</w:t>
      </w:r>
      <w:r>
        <w:rPr>
          <w:rFonts w:hint="default" w:ascii="Times New Roman" w:hAnsi="Calibri" w:cs="Times New Roman"/>
          <w:kern w:val="2"/>
          <w:sz w:val="24"/>
          <w:szCs w:val="24"/>
          <w:lang w:val="en-US" w:eastAsia="zh-CN" w:bidi="ar-SA"/>
        </w:rPr>
        <w:t>系统，其对塔式光热电站能否实现安全可靠运行具有重大影响。</w:t>
      </w:r>
    </w:p>
    <w:p>
      <w:pPr>
        <w:autoSpaceDE/>
        <w:autoSpaceDN/>
        <w:spacing w:before="100" w:beforeAutospacing="1" w:after="100" w:afterAutospacing="1" w:line="360" w:lineRule="auto"/>
        <w:ind w:left="0" w:right="0" w:firstLine="480" w:firstLineChars="200"/>
        <w:jc w:val="both"/>
        <w:rPr>
          <w:rFonts w:hint="default" w:ascii="Times New Roman" w:hAnsi="Calibri" w:cs="Times New Roman"/>
          <w:kern w:val="2"/>
          <w:sz w:val="24"/>
          <w:szCs w:val="24"/>
          <w:lang w:val="en-US" w:eastAsia="zh-CN" w:bidi="ar-SA"/>
        </w:rPr>
      </w:pPr>
      <w:r>
        <w:rPr>
          <w:rFonts w:hint="default" w:ascii="Times New Roman" w:hAnsi="Calibri" w:cs="Times New Roman"/>
          <w:kern w:val="2"/>
          <w:sz w:val="24"/>
          <w:szCs w:val="24"/>
          <w:lang w:val="en-US" w:eastAsia="zh-CN" w:bidi="ar-SA"/>
        </w:rPr>
        <w:t>定日镜场检测是塔式太阳能光热发电站能否实现聚集太阳光能的关键保障环节之一，是验证定日镜场符合技术要求的必要技术手段。</w:t>
      </w:r>
    </w:p>
    <w:p>
      <w:pPr>
        <w:spacing w:before="100" w:beforeAutospacing="1" w:after="100" w:afterAutospacing="1" w:line="360" w:lineRule="auto"/>
        <w:ind w:firstLine="480" w:firstLineChars="200"/>
        <w:jc w:val="both"/>
        <w:rPr>
          <w:rFonts w:ascii="Times New Roman"/>
          <w:sz w:val="24"/>
          <w:szCs w:val="24"/>
        </w:rPr>
      </w:pPr>
      <w:r>
        <w:rPr>
          <w:rFonts w:hint="eastAsia" w:ascii="Times New Roman"/>
          <w:sz w:val="24"/>
          <w:szCs w:val="24"/>
        </w:rPr>
        <w:t>国内外对于塔式光热发电站</w:t>
      </w:r>
      <w:r>
        <w:rPr>
          <w:rFonts w:hint="eastAsia" w:ascii="Times New Roman"/>
          <w:sz w:val="24"/>
          <w:szCs w:val="24"/>
          <w:lang w:val="en-US" w:eastAsia="zh-CN"/>
        </w:rPr>
        <w:t>定日镜场检测</w:t>
      </w:r>
      <w:r>
        <w:rPr>
          <w:rFonts w:hint="eastAsia" w:ascii="Times New Roman"/>
          <w:sz w:val="24"/>
          <w:szCs w:val="24"/>
        </w:rPr>
        <w:t>等尚无相关标准或其他文献信息，该</w:t>
      </w:r>
      <w:r>
        <w:rPr>
          <w:rFonts w:hint="eastAsia" w:ascii="Times New Roman"/>
          <w:sz w:val="24"/>
          <w:szCs w:val="24"/>
          <w:lang w:val="en-US" w:eastAsia="zh-CN"/>
        </w:rPr>
        <w:t>标准</w:t>
      </w:r>
      <w:r>
        <w:rPr>
          <w:rFonts w:ascii="Times New Roman"/>
          <w:sz w:val="24"/>
          <w:szCs w:val="24"/>
        </w:rPr>
        <w:t>填补</w:t>
      </w:r>
      <w:r>
        <w:rPr>
          <w:rFonts w:hint="eastAsia" w:ascii="Times New Roman"/>
          <w:sz w:val="24"/>
          <w:szCs w:val="24"/>
        </w:rPr>
        <w:t>了该领域</w:t>
      </w:r>
      <w:r>
        <w:rPr>
          <w:rFonts w:ascii="Times New Roman"/>
          <w:sz w:val="24"/>
          <w:szCs w:val="24"/>
        </w:rPr>
        <w:t>的</w:t>
      </w:r>
      <w:r>
        <w:rPr>
          <w:rFonts w:hint="eastAsia" w:ascii="Times New Roman"/>
          <w:sz w:val="24"/>
          <w:szCs w:val="24"/>
        </w:rPr>
        <w:t>标准</w:t>
      </w:r>
      <w:r>
        <w:rPr>
          <w:rFonts w:ascii="Times New Roman"/>
          <w:sz w:val="24"/>
          <w:szCs w:val="24"/>
        </w:rPr>
        <w:t>空白。</w:t>
      </w:r>
    </w:p>
    <w:p>
      <w:pPr>
        <w:pStyle w:val="12"/>
        <w:spacing w:before="100" w:beforeAutospacing="1" w:after="100" w:afterAutospacing="1" w:line="360" w:lineRule="auto"/>
        <w:jc w:val="left"/>
        <w:rPr>
          <w:rFonts w:ascii="Times New Roman" w:hAnsi="Times New Roman"/>
          <w:b/>
          <w:kern w:val="0"/>
          <w:sz w:val="24"/>
        </w:rPr>
      </w:pPr>
      <w:r>
        <w:rPr>
          <w:rFonts w:ascii="Times New Roman" w:hAnsi="Times New Roman"/>
          <w:b/>
          <w:kern w:val="0"/>
          <w:sz w:val="24"/>
        </w:rPr>
        <w:t>三、</w:t>
      </w:r>
      <w:r>
        <w:rPr>
          <w:rFonts w:hint="eastAsia" w:ascii="Times New Roman" w:hAnsi="Times New Roman"/>
          <w:b/>
          <w:kern w:val="0"/>
          <w:sz w:val="24"/>
        </w:rPr>
        <w:t>主要</w:t>
      </w:r>
      <w:r>
        <w:rPr>
          <w:rFonts w:ascii="Times New Roman" w:hAnsi="Times New Roman"/>
          <w:b/>
          <w:kern w:val="0"/>
          <w:sz w:val="24"/>
        </w:rPr>
        <w:t>试验（或验证）</w:t>
      </w:r>
      <w:r>
        <w:rPr>
          <w:rFonts w:hint="eastAsia" w:ascii="Times New Roman" w:hAnsi="Times New Roman"/>
          <w:b/>
          <w:kern w:val="0"/>
          <w:sz w:val="24"/>
        </w:rPr>
        <w:t>情况</w:t>
      </w:r>
    </w:p>
    <w:p>
      <w:pPr>
        <w:spacing w:line="360" w:lineRule="auto"/>
        <w:ind w:left="125" w:leftChars="57" w:firstLine="480" w:firstLineChars="200"/>
        <w:jc w:val="both"/>
        <w:rPr>
          <w:rFonts w:hint="eastAsia" w:ascii="Times New Roman" w:hAnsi="Times New Roman"/>
          <w:sz w:val="24"/>
          <w:szCs w:val="24"/>
        </w:rPr>
      </w:pPr>
      <w:r>
        <w:rPr>
          <w:rFonts w:hint="eastAsia" w:ascii="Times New Roman" w:hAnsi="Times New Roman"/>
          <w:sz w:val="24"/>
          <w:szCs w:val="24"/>
          <w:lang w:val="en-US" w:eastAsia="zh-CN"/>
        </w:rPr>
        <w:t>本标准的</w:t>
      </w:r>
      <w:r>
        <w:rPr>
          <w:rFonts w:hint="eastAsia" w:ascii="Times New Roman" w:hAnsi="Times New Roman"/>
          <w:sz w:val="24"/>
          <w:szCs w:val="24"/>
        </w:rPr>
        <w:t>技术要求和</w:t>
      </w:r>
      <w:r>
        <w:rPr>
          <w:rFonts w:hint="eastAsia" w:ascii="Times New Roman" w:hAnsi="Times New Roman"/>
          <w:sz w:val="24"/>
          <w:szCs w:val="24"/>
          <w:lang w:val="en-US" w:eastAsia="zh-CN"/>
        </w:rPr>
        <w:t>试验</w:t>
      </w:r>
      <w:r>
        <w:rPr>
          <w:rFonts w:hint="eastAsia" w:ascii="Times New Roman" w:hAnsi="Times New Roman"/>
          <w:sz w:val="24"/>
          <w:szCs w:val="24"/>
        </w:rPr>
        <w:t>方法</w:t>
      </w:r>
      <w:r>
        <w:rPr>
          <w:rFonts w:hint="eastAsia" w:ascii="Times New Roman" w:hAnsi="Times New Roman"/>
          <w:sz w:val="24"/>
          <w:szCs w:val="24"/>
          <w:lang w:val="en-US" w:eastAsia="zh-CN"/>
        </w:rPr>
        <w:t>依托我国首批20个太阳能热发电示范项目之一“德令哈熔盐塔式5万千瓦光热发电项目”的实际应用验证，</w:t>
      </w:r>
      <w:r>
        <w:rPr>
          <w:rFonts w:hint="eastAsia" w:ascii="Times New Roman" w:hAnsi="Times New Roman"/>
          <w:sz w:val="24"/>
          <w:szCs w:val="24"/>
        </w:rPr>
        <w:t>检验与校准方法科学合理，具备可操作性。</w:t>
      </w:r>
    </w:p>
    <w:p>
      <w:pPr>
        <w:spacing w:before="100" w:beforeAutospacing="1" w:after="100" w:afterAutospacing="1" w:line="360" w:lineRule="auto"/>
        <w:jc w:val="left"/>
        <w:rPr>
          <w:rFonts w:ascii="Times New Roman" w:hAnsi="Times New Roman"/>
          <w:b/>
          <w:kern w:val="0"/>
          <w:sz w:val="24"/>
        </w:rPr>
      </w:pPr>
      <w:r>
        <w:rPr>
          <w:rFonts w:ascii="Times New Roman" w:hAnsi="Times New Roman"/>
          <w:b/>
          <w:kern w:val="0"/>
          <w:sz w:val="24"/>
        </w:rPr>
        <w:t>四、</w:t>
      </w:r>
      <w:r>
        <w:rPr>
          <w:rFonts w:hint="eastAsia" w:ascii="Times New Roman" w:hAnsi="Times New Roman" w:eastAsia="宋体" w:cs="宋体"/>
          <w:b/>
          <w:kern w:val="0"/>
          <w:sz w:val="24"/>
          <w:szCs w:val="22"/>
          <w:lang w:val="zh-CN" w:eastAsia="zh-CN" w:bidi="zh-CN"/>
        </w:rPr>
        <w:t>标准中涉及专利</w:t>
      </w:r>
      <w:r>
        <w:rPr>
          <w:rFonts w:ascii="Times New Roman" w:hAnsi="Times New Roman"/>
          <w:b/>
          <w:kern w:val="0"/>
          <w:sz w:val="24"/>
        </w:rPr>
        <w:t>的情况</w:t>
      </w:r>
    </w:p>
    <w:p>
      <w:pPr>
        <w:pStyle w:val="14"/>
        <w:ind w:firstLine="480"/>
        <w:rPr>
          <w:rFonts w:ascii="Times New Roman" w:hAnsi="Times New Roman"/>
          <w:kern w:val="2"/>
          <w:sz w:val="24"/>
          <w:szCs w:val="24"/>
        </w:rPr>
      </w:pPr>
      <w:r>
        <w:rPr>
          <w:rFonts w:ascii="Times New Roman" w:hAnsi="Times New Roman"/>
          <w:kern w:val="2"/>
          <w:sz w:val="24"/>
          <w:szCs w:val="24"/>
        </w:rPr>
        <w:t>本标准不涉及专利问题。</w:t>
      </w:r>
    </w:p>
    <w:p>
      <w:pPr>
        <w:spacing w:before="100" w:beforeAutospacing="1" w:after="100" w:afterAutospacing="1" w:line="360" w:lineRule="auto"/>
        <w:jc w:val="left"/>
        <w:rPr>
          <w:rFonts w:ascii="Times New Roman" w:hAnsi="Times New Roman"/>
          <w:b/>
          <w:kern w:val="0"/>
          <w:sz w:val="24"/>
          <w:szCs w:val="24"/>
        </w:rPr>
      </w:pPr>
      <w:r>
        <w:rPr>
          <w:rFonts w:ascii="Times New Roman" w:hAnsi="Times New Roman"/>
          <w:b/>
          <w:kern w:val="0"/>
          <w:sz w:val="24"/>
          <w:szCs w:val="24"/>
        </w:rPr>
        <w:t>五、预期达到的社会效益、对产业发展的作用等情况</w:t>
      </w:r>
    </w:p>
    <w:p>
      <w:pPr>
        <w:spacing w:before="100" w:beforeAutospacing="1" w:after="100" w:afterAutospacing="1" w:line="360" w:lineRule="auto"/>
        <w:ind w:firstLine="480" w:firstLineChars="200"/>
        <w:jc w:val="both"/>
        <w:rPr>
          <w:rFonts w:ascii="Times New Roman"/>
          <w:sz w:val="24"/>
          <w:szCs w:val="24"/>
        </w:rPr>
      </w:pPr>
      <w:r>
        <w:rPr>
          <w:rFonts w:hint="eastAsia" w:ascii="Times New Roman" w:hAnsi="Times New Roman"/>
          <w:sz w:val="24"/>
          <w:szCs w:val="24"/>
        </w:rPr>
        <w:t>标准规定了</w:t>
      </w:r>
      <w:r>
        <w:rPr>
          <w:rFonts w:hint="eastAsia" w:ascii="Times New Roman"/>
          <w:sz w:val="24"/>
          <w:szCs w:val="24"/>
        </w:rPr>
        <w:t>太阳能热发电站</w:t>
      </w:r>
      <w:r>
        <w:rPr>
          <w:rFonts w:hint="eastAsia" w:ascii="Times New Roman"/>
          <w:sz w:val="24"/>
          <w:szCs w:val="24"/>
          <w:lang w:val="en-US" w:eastAsia="zh-CN"/>
        </w:rPr>
        <w:t>定日镜场</w:t>
      </w:r>
      <w:r>
        <w:rPr>
          <w:rFonts w:hint="eastAsia" w:ascii="Times New Roman"/>
          <w:sz w:val="24"/>
          <w:szCs w:val="24"/>
        </w:rPr>
        <w:t>检测</w:t>
      </w:r>
      <w:r>
        <w:rPr>
          <w:rFonts w:hint="eastAsia" w:ascii="Times New Roman"/>
          <w:sz w:val="24"/>
          <w:szCs w:val="24"/>
          <w:lang w:val="en-US" w:eastAsia="zh-CN"/>
        </w:rPr>
        <w:t>规程</w:t>
      </w:r>
      <w:r>
        <w:rPr>
          <w:rFonts w:hint="eastAsia" w:ascii="Times New Roman"/>
          <w:sz w:val="24"/>
          <w:szCs w:val="24"/>
        </w:rPr>
        <w:t>，</w:t>
      </w:r>
      <w:r>
        <w:rPr>
          <w:rFonts w:hint="eastAsia" w:ascii="Times New Roman"/>
          <w:sz w:val="24"/>
          <w:szCs w:val="24"/>
          <w:lang w:val="en-US" w:eastAsia="zh-CN"/>
        </w:rPr>
        <w:t>为定日镜场的性能指标提供了验证依据，它</w:t>
      </w:r>
      <w:r>
        <w:rPr>
          <w:rFonts w:hint="eastAsia" w:ascii="Times New Roman"/>
          <w:sz w:val="24"/>
          <w:szCs w:val="24"/>
        </w:rPr>
        <w:t>对于提高太阳能热发电站的</w:t>
      </w:r>
      <w:r>
        <w:rPr>
          <w:rFonts w:hint="eastAsia" w:ascii="Times New Roman"/>
          <w:sz w:val="24"/>
          <w:szCs w:val="24"/>
          <w:lang w:val="en-US" w:eastAsia="zh-CN"/>
        </w:rPr>
        <w:t>镜场</w:t>
      </w:r>
      <w:r>
        <w:rPr>
          <w:rFonts w:hint="eastAsia" w:ascii="Times New Roman"/>
          <w:sz w:val="24"/>
          <w:szCs w:val="24"/>
        </w:rPr>
        <w:t>效率起着至关重要的作用，</w:t>
      </w:r>
      <w:r>
        <w:rPr>
          <w:rFonts w:hint="eastAsia" w:ascii="Times New Roman"/>
          <w:sz w:val="24"/>
          <w:szCs w:val="24"/>
          <w:lang w:val="en-US" w:eastAsia="zh-CN"/>
        </w:rPr>
        <w:t>对</w:t>
      </w:r>
      <w:r>
        <w:rPr>
          <w:rFonts w:hint="eastAsia" w:ascii="Times New Roman"/>
          <w:sz w:val="24"/>
          <w:szCs w:val="24"/>
        </w:rPr>
        <w:t>整个电站的安全</w:t>
      </w:r>
      <w:r>
        <w:rPr>
          <w:rFonts w:hint="eastAsia" w:ascii="Times New Roman"/>
          <w:sz w:val="24"/>
          <w:szCs w:val="24"/>
          <w:lang w:val="en-US" w:eastAsia="zh-CN"/>
        </w:rPr>
        <w:t>可靠运营</w:t>
      </w:r>
      <w:r>
        <w:rPr>
          <w:rFonts w:hint="eastAsia" w:ascii="Times New Roman"/>
          <w:sz w:val="24"/>
          <w:szCs w:val="24"/>
        </w:rPr>
        <w:t>和经济性</w:t>
      </w:r>
      <w:r>
        <w:rPr>
          <w:rFonts w:hint="eastAsia" w:ascii="Times New Roman"/>
          <w:sz w:val="24"/>
          <w:szCs w:val="24"/>
          <w:lang w:val="en-US" w:eastAsia="zh-CN"/>
        </w:rPr>
        <w:t>有着重要影响</w:t>
      </w:r>
      <w:r>
        <w:rPr>
          <w:rFonts w:hint="eastAsia" w:ascii="Times New Roman"/>
          <w:sz w:val="24"/>
          <w:szCs w:val="24"/>
        </w:rPr>
        <w:t>，能够有效引领太阳能光热产业规模化发展。</w:t>
      </w:r>
    </w:p>
    <w:p>
      <w:pPr>
        <w:spacing w:before="100" w:beforeAutospacing="1" w:after="100" w:afterAutospacing="1" w:line="360" w:lineRule="auto"/>
        <w:jc w:val="left"/>
        <w:rPr>
          <w:rFonts w:ascii="Times New Roman" w:hAnsi="Times New Roman"/>
          <w:b/>
          <w:kern w:val="0"/>
          <w:sz w:val="24"/>
        </w:rPr>
      </w:pPr>
      <w:r>
        <w:rPr>
          <w:rFonts w:ascii="Times New Roman" w:hAnsi="Times New Roman"/>
          <w:b/>
          <w:kern w:val="0"/>
          <w:sz w:val="24"/>
        </w:rPr>
        <w:t>六、采用国际标准情况</w:t>
      </w:r>
    </w:p>
    <w:p>
      <w:pPr>
        <w:pStyle w:val="12"/>
        <w:numPr>
          <w:ilvl w:val="0"/>
          <w:numId w:val="0"/>
        </w:numPr>
        <w:spacing w:line="360" w:lineRule="auto"/>
        <w:ind w:left="426" w:leftChars="0" w:right="0" w:rightChars="0"/>
        <w:outlineLvl w:val="1"/>
        <w:rPr>
          <w:rFonts w:hint="eastAsia" w:ascii="Times New Roman" w:hAnsi="Times New Roman" w:eastAsia="宋体"/>
          <w:sz w:val="24"/>
          <w:szCs w:val="24"/>
          <w:lang w:eastAsia="zh-CN"/>
        </w:rPr>
      </w:pPr>
      <w:r>
        <w:rPr>
          <w:rFonts w:hint="eastAsia" w:ascii="Times New Roman" w:hAnsi="Times New Roman"/>
          <w:sz w:val="24"/>
          <w:szCs w:val="24"/>
        </w:rPr>
        <w:t>本标准没有采用国际标准</w:t>
      </w:r>
      <w:r>
        <w:rPr>
          <w:rFonts w:hint="eastAsia" w:ascii="Times New Roman" w:hAnsi="Times New Roman"/>
          <w:sz w:val="24"/>
          <w:szCs w:val="24"/>
          <w:lang w:eastAsia="zh-CN"/>
        </w:rPr>
        <w:t>。</w:t>
      </w:r>
    </w:p>
    <w:p>
      <w:pPr>
        <w:spacing w:before="100" w:beforeAutospacing="1" w:after="100" w:afterAutospacing="1" w:line="360" w:lineRule="auto"/>
        <w:jc w:val="left"/>
        <w:rPr>
          <w:rFonts w:ascii="Times New Roman" w:hAnsi="Times New Roman"/>
          <w:b/>
          <w:kern w:val="0"/>
          <w:sz w:val="24"/>
        </w:rPr>
      </w:pPr>
      <w:r>
        <w:rPr>
          <w:rFonts w:ascii="Times New Roman" w:hAnsi="Times New Roman"/>
          <w:b/>
          <w:kern w:val="0"/>
          <w:sz w:val="24"/>
        </w:rPr>
        <w:t>七、在标准体系中的位置，与现行相关法律、法规、规章及相关标准，特别是强制性标准的协调性</w:t>
      </w:r>
    </w:p>
    <w:p>
      <w:pPr>
        <w:spacing w:before="100" w:beforeAutospacing="1" w:after="100" w:afterAutospacing="1" w:line="360" w:lineRule="auto"/>
        <w:ind w:firstLine="480" w:firstLineChars="200"/>
        <w:jc w:val="both"/>
        <w:rPr>
          <w:rFonts w:ascii="Times New Roman" w:hAnsi="Times New Roman"/>
          <w:b/>
          <w:kern w:val="0"/>
          <w:sz w:val="18"/>
          <w:szCs w:val="18"/>
        </w:rPr>
      </w:pPr>
      <w:r>
        <w:rPr>
          <w:rFonts w:ascii="Times New Roman" w:hAnsi="Times New Roman"/>
          <w:sz w:val="24"/>
          <w:szCs w:val="24"/>
        </w:rPr>
        <w:t>本标准的主要技术内容符合现行有效国家（行业）标准的相关规定，并与现行有效的国家强制性标准和国际标准协调一致。</w:t>
      </w:r>
    </w:p>
    <w:p>
      <w:pPr>
        <w:spacing w:before="100" w:beforeAutospacing="1" w:after="100" w:afterAutospacing="1" w:line="360" w:lineRule="auto"/>
        <w:jc w:val="left"/>
        <w:rPr>
          <w:rFonts w:ascii="Times New Roman" w:hAnsi="Times New Roman"/>
          <w:b/>
          <w:kern w:val="0"/>
          <w:sz w:val="24"/>
          <w:szCs w:val="24"/>
        </w:rPr>
      </w:pPr>
      <w:r>
        <w:rPr>
          <w:rFonts w:ascii="Times New Roman" w:hAnsi="Times New Roman"/>
          <w:b/>
          <w:kern w:val="0"/>
          <w:sz w:val="24"/>
          <w:szCs w:val="24"/>
        </w:rPr>
        <w:t>八、重大分歧意见的处理经过和依据</w:t>
      </w:r>
    </w:p>
    <w:p>
      <w:pPr>
        <w:adjustRightInd w:val="0"/>
        <w:snapToGrid w:val="0"/>
        <w:spacing w:line="360" w:lineRule="auto"/>
        <w:ind w:firstLine="484" w:firstLineChars="202"/>
        <w:jc w:val="left"/>
        <w:rPr>
          <w:rFonts w:ascii="Times New Roman" w:hAnsi="Times New Roman"/>
          <w:sz w:val="24"/>
          <w:szCs w:val="24"/>
        </w:rPr>
      </w:pPr>
      <w:r>
        <w:rPr>
          <w:rFonts w:ascii="Times New Roman" w:hAnsi="Times New Roman"/>
          <w:sz w:val="24"/>
          <w:szCs w:val="24"/>
        </w:rPr>
        <w:t>无。</w:t>
      </w:r>
    </w:p>
    <w:p>
      <w:pPr>
        <w:spacing w:before="100" w:beforeAutospacing="1" w:after="100" w:afterAutospacing="1" w:line="360" w:lineRule="auto"/>
        <w:jc w:val="left"/>
        <w:rPr>
          <w:rFonts w:ascii="Times New Roman" w:hAnsi="Times New Roman"/>
          <w:b/>
          <w:kern w:val="0"/>
          <w:sz w:val="24"/>
        </w:rPr>
      </w:pPr>
      <w:r>
        <w:rPr>
          <w:rFonts w:hint="eastAsia" w:ascii="Times New Roman" w:hAnsi="Times New Roman"/>
          <w:b/>
          <w:kern w:val="0"/>
          <w:sz w:val="24"/>
          <w:lang w:val="en-US" w:eastAsia="zh-CN"/>
        </w:rPr>
        <w:t>九</w:t>
      </w:r>
      <w:r>
        <w:rPr>
          <w:rFonts w:ascii="Times New Roman" w:hAnsi="Times New Roman"/>
          <w:b/>
          <w:kern w:val="0"/>
          <w:sz w:val="24"/>
        </w:rPr>
        <w:t>、废止现行相关标准的建议</w:t>
      </w:r>
    </w:p>
    <w:p>
      <w:pPr>
        <w:adjustRightInd w:val="0"/>
        <w:snapToGrid w:val="0"/>
        <w:spacing w:line="360" w:lineRule="auto"/>
        <w:ind w:firstLine="480" w:firstLineChars="200"/>
        <w:jc w:val="left"/>
        <w:rPr>
          <w:rFonts w:hint="eastAsia" w:ascii="Times New Roman" w:hAnsi="Times New Roman"/>
          <w:sz w:val="24"/>
          <w:szCs w:val="24"/>
        </w:rPr>
      </w:pPr>
      <w:r>
        <w:rPr>
          <w:rFonts w:hint="eastAsia" w:ascii="Times New Roman" w:hAnsi="Times New Roman"/>
          <w:sz w:val="24"/>
          <w:szCs w:val="24"/>
        </w:rPr>
        <w:t>无。</w:t>
      </w:r>
    </w:p>
    <w:p>
      <w:pPr>
        <w:spacing w:before="100" w:beforeAutospacing="1" w:after="100" w:afterAutospacing="1" w:line="360" w:lineRule="auto"/>
        <w:jc w:val="left"/>
        <w:rPr>
          <w:rFonts w:ascii="Times New Roman" w:hAnsi="Times New Roman"/>
          <w:b/>
          <w:kern w:val="0"/>
          <w:sz w:val="24"/>
        </w:rPr>
      </w:pPr>
      <w:r>
        <w:rPr>
          <w:rFonts w:ascii="Times New Roman" w:hAnsi="Times New Roman"/>
          <w:b/>
          <w:kern w:val="0"/>
          <w:sz w:val="24"/>
        </w:rPr>
        <w:t>十、其他应予说明的事项</w:t>
      </w:r>
    </w:p>
    <w:p>
      <w:pPr>
        <w:adjustRightInd w:val="0"/>
        <w:snapToGrid w:val="0"/>
        <w:spacing w:line="360" w:lineRule="auto"/>
        <w:ind w:firstLine="480" w:firstLineChars="200"/>
        <w:jc w:val="left"/>
        <w:rPr>
          <w:rFonts w:hint="default" w:ascii="Times New Roman" w:hAnsi="Times New Roman" w:eastAsia="仿宋" w:cs="Times New Roman"/>
        </w:rPr>
      </w:pPr>
      <w:r>
        <w:rPr>
          <w:rFonts w:hint="eastAsia" w:ascii="Times New Roman" w:hAnsi="Times New Roman"/>
          <w:sz w:val="24"/>
          <w:szCs w:val="24"/>
        </w:rPr>
        <w:t>无</w:t>
      </w:r>
    </w:p>
    <w:sectPr>
      <w:footerReference r:id="rId7" w:type="default"/>
      <w:pgSz w:w="11910" w:h="16840"/>
      <w:pgMar w:top="1440" w:right="1080" w:bottom="1440" w:left="1080" w:header="720" w:footer="720"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光黑体_CNKI">
    <w:altName w:val="黑体"/>
    <w:panose1 w:val="020005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62C0C"/>
    <w:multiLevelType w:val="singleLevel"/>
    <w:tmpl w:val="0BD62C0C"/>
    <w:lvl w:ilvl="0" w:tentative="0">
      <w:start w:val="2"/>
      <w:numFmt w:val="chineseCounting"/>
      <w:suff w:val="nothing"/>
      <w:lvlText w:val="%1、"/>
      <w:lvlJc w:val="left"/>
      <w:rPr>
        <w:rFonts w:hint="eastAsia"/>
      </w:rPr>
    </w:lvl>
  </w:abstractNum>
  <w:abstractNum w:abstractNumId="1">
    <w:nsid w:val="54529877"/>
    <w:multiLevelType w:val="singleLevel"/>
    <w:tmpl w:val="5452987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5AD7DDA"/>
    <w:rsid w:val="0BF11F21"/>
    <w:rsid w:val="0F5004CD"/>
    <w:rsid w:val="12124B2F"/>
    <w:rsid w:val="13210168"/>
    <w:rsid w:val="17F34A8B"/>
    <w:rsid w:val="18F94F56"/>
    <w:rsid w:val="1E33064D"/>
    <w:rsid w:val="21F158E0"/>
    <w:rsid w:val="2E49451B"/>
    <w:rsid w:val="2E6D76AB"/>
    <w:rsid w:val="31F9369D"/>
    <w:rsid w:val="32903B8C"/>
    <w:rsid w:val="364A7FAB"/>
    <w:rsid w:val="40052D2B"/>
    <w:rsid w:val="49B03EC5"/>
    <w:rsid w:val="49CE5F1B"/>
    <w:rsid w:val="4B8A0AD8"/>
    <w:rsid w:val="55575E94"/>
    <w:rsid w:val="575236FA"/>
    <w:rsid w:val="5E423F5A"/>
    <w:rsid w:val="5F8725E9"/>
    <w:rsid w:val="747F61D2"/>
    <w:rsid w:val="7CE313F5"/>
    <w:rsid w:val="7FD176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257" w:right="451"/>
      <w:jc w:val="center"/>
      <w:outlineLvl w:val="1"/>
    </w:pPr>
    <w:rPr>
      <w:rFonts w:ascii="宋体" w:hAnsi="宋体" w:eastAsia="宋体" w:cs="宋体"/>
      <w:b/>
      <w:bCs/>
      <w:sz w:val="32"/>
      <w:szCs w:val="32"/>
      <w:lang w:val="zh-CN" w:eastAsia="zh-CN" w:bidi="zh-CN"/>
    </w:rPr>
  </w:style>
  <w:style w:type="paragraph" w:styleId="3">
    <w:name w:val="heading 2"/>
    <w:basedOn w:val="1"/>
    <w:next w:val="1"/>
    <w:qFormat/>
    <w:uiPriority w:val="1"/>
    <w:pPr>
      <w:ind w:left="477" w:hanging="359"/>
      <w:outlineLvl w:val="2"/>
    </w:pPr>
    <w:rPr>
      <w:rFonts w:ascii="宋体" w:hAnsi="宋体" w:eastAsia="宋体" w:cs="宋体"/>
      <w:b/>
      <w:bCs/>
      <w:sz w:val="21"/>
      <w:szCs w:val="21"/>
      <w:lang w:val="zh-CN" w:eastAsia="zh-CN" w:bidi="zh-CN"/>
    </w:rPr>
  </w:style>
  <w:style w:type="character" w:default="1" w:styleId="10">
    <w:name w:val="Default Paragraph Font"/>
    <w:semiHidden/>
    <w:unhideWhenUsed/>
    <w:qFormat/>
    <w:uiPriority w:val="1"/>
  </w:style>
  <w:style w:type="table" w:default="1" w:styleId="9">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1"/>
      <w:szCs w:val="21"/>
      <w:lang w:val="zh-CN" w:eastAsia="zh-CN" w:bidi="zh-CN"/>
    </w:rPr>
  </w:style>
  <w:style w:type="paragraph" w:styleId="5">
    <w:name w:val="toc 3"/>
    <w:basedOn w:val="1"/>
    <w:next w:val="1"/>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0"/>
    <w:pPr>
      <w:ind w:left="420" w:leftChars="200"/>
    </w:p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477" w:hanging="359"/>
    </w:pPr>
    <w:rPr>
      <w:rFonts w:ascii="宋体" w:hAnsi="宋体" w:eastAsia="宋体" w:cs="宋体"/>
      <w:lang w:val="zh-CN" w:eastAsia="zh-CN" w:bidi="zh-CN"/>
    </w:rPr>
  </w:style>
  <w:style w:type="paragraph" w:customStyle="1" w:styleId="13">
    <w:name w:val="Table Paragraph"/>
    <w:basedOn w:val="1"/>
    <w:qFormat/>
    <w:uiPriority w:val="1"/>
    <w:rPr>
      <w:lang w:val="zh-CN" w:eastAsia="zh-CN" w:bidi="zh-CN"/>
    </w:rPr>
  </w:style>
  <w:style w:type="paragraph" w:customStyle="1" w:styleId="14">
    <w:name w:val="段"/>
    <w:qFormat/>
    <w:uiPriority w:val="0"/>
    <w:pPr>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ScaleCrop>false</ScaleCrop>
  <LinksUpToDate>false</LinksUpToDate>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2020-07-16T05:52:00Z</dcterms:created>
  <dc:creator>heqiang</dc:creator>
  <cp:lastModifiedBy>MAX</cp:lastModifiedBy>
  <dcterms:modified xsi:type="dcterms:W3CDTF">2022-02-11T01:37:03Z</dcterms:modified>
  <dc:title>&lt;4D6963726F736F667420576F7264202D20D6D0B5E7C1AAB1EAD7BCA1B6B8DFD1B9C8E1D0D4D6B1C1F7BFD8D6C6B1A3BBA4CFB5CDB3D3EBB0B2C8ABCEC8B6A8BFD8D6C6D7B0D6C3BDD3BFDABCBCCAF5B9E6B7B6A1B7D5F7C7F3D2E2BCFBB8E5B1E0D6C6CBB5C3F72E646F6378&gt;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PScript5.dll Version 5.2.2</vt:lpwstr>
  </property>
  <property fmtid="{D5CDD505-2E9C-101B-9397-08002B2CF9AE}" pid="4" name="LastSaved">
    <vt:filetime>2020-07-16T00:00:00Z</vt:filetime>
  </property>
  <property fmtid="{D5CDD505-2E9C-101B-9397-08002B2CF9AE}" pid="5" name="KSOProductBuildVer">
    <vt:lpwstr>2052-11.1.0.11294</vt:lpwstr>
  </property>
  <property fmtid="{D5CDD505-2E9C-101B-9397-08002B2CF9AE}" pid="6" name="ICV">
    <vt:lpwstr>DAEEFE95D1C74CCC892DDFFC15BF6D52</vt:lpwstr>
  </property>
</Properties>
</file>